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0DAA" w:rsidRDefault="0029045F">
      <w:pPr>
        <w:spacing w:after="200"/>
        <w:rPr>
          <w:sz w:val="36"/>
          <w:szCs w:val="36"/>
        </w:rPr>
      </w:pPr>
      <w:r>
        <w:rPr>
          <w:b/>
          <w:sz w:val="36"/>
          <w:szCs w:val="36"/>
        </w:rPr>
        <w:t>Call-Off Schedule 20 (Call-Off Specification)</w:t>
      </w:r>
      <w:r>
        <w:rPr>
          <w:sz w:val="36"/>
          <w:szCs w:val="36"/>
        </w:rPr>
        <w:t xml:space="preserve"> </w:t>
      </w:r>
    </w:p>
    <w:p w:rsidR="00FF0DAA" w:rsidRDefault="0029045F">
      <w:pPr>
        <w:tabs>
          <w:tab w:val="left" w:pos="709"/>
          <w:tab w:val="left" w:pos="1134"/>
        </w:tabs>
        <w:spacing w:before="120" w:after="120" w:line="240" w:lineRule="auto"/>
        <w:rPr>
          <w:sz w:val="24"/>
          <w:szCs w:val="24"/>
        </w:rPr>
      </w:pPr>
      <w:bookmarkStart w:id="0" w:name="_heading=h.gjdgxs" w:colFirst="0" w:colLast="0"/>
      <w:bookmarkEnd w:id="0"/>
      <w:r>
        <w:rPr>
          <w:sz w:val="24"/>
          <w:szCs w:val="24"/>
        </w:rPr>
        <w:t>This Schedule sets out the characteristics of the Deliverables that the Supplier will be required to make to the Buyers under this Call-Off Contract.</w:t>
      </w:r>
    </w:p>
    <w:p w:rsidR="00FF0DAA" w:rsidRDefault="00FF0DAA">
      <w:pPr>
        <w:tabs>
          <w:tab w:val="left" w:pos="709"/>
          <w:tab w:val="left" w:pos="1134"/>
        </w:tabs>
        <w:spacing w:before="120" w:after="120" w:line="240" w:lineRule="auto"/>
        <w:rPr>
          <w:b/>
        </w:rPr>
      </w:pPr>
      <w:bookmarkStart w:id="1" w:name="_heading=h.43ky6rz" w:colFirst="0" w:colLast="0"/>
      <w:bookmarkEnd w:id="1"/>
    </w:p>
    <w:p w:rsidR="00FF0DAA" w:rsidRDefault="0029045F">
      <w:pPr>
        <w:tabs>
          <w:tab w:val="left" w:pos="709"/>
          <w:tab w:val="left" w:pos="1134"/>
        </w:tabs>
        <w:spacing w:before="120" w:after="120" w:line="240" w:lineRule="auto"/>
        <w:rPr>
          <w:b/>
        </w:rPr>
      </w:pPr>
      <w:r>
        <w:rPr>
          <w:b/>
        </w:rPr>
        <w:t>As provided in the bid pack:</w:t>
      </w:r>
    </w:p>
    <w:p w:rsidR="00FF0DAA" w:rsidRDefault="00FF0DAA"/>
    <w:sdt>
      <w:sdtPr>
        <w:id w:val="-1532105032"/>
        <w:docPartObj>
          <w:docPartGallery w:val="Table of Contents"/>
          <w:docPartUnique/>
        </w:docPartObj>
      </w:sdtPr>
      <w:sdtEndPr/>
      <w:sdtContent>
        <w:p w:rsidR="00FF0DAA" w:rsidRDefault="0029045F">
          <w:pPr>
            <w:widowControl w:val="0"/>
            <w:tabs>
              <w:tab w:val="right" w:pos="12000"/>
            </w:tabs>
            <w:spacing w:before="60" w:line="240" w:lineRule="auto"/>
            <w:rPr>
              <w:b/>
              <w:color w:val="000000"/>
            </w:rPr>
          </w:pPr>
          <w:r>
            <w:fldChar w:fldCharType="begin"/>
          </w:r>
          <w:r>
            <w:instrText xml:space="preserve"> TOC \h \u \z \t "Heading 1,1,Heading 2,2,Heading 3,3,Heading 4,4,Heading 5,5,Heading 6,6,"</w:instrText>
          </w:r>
          <w:r>
            <w:fldChar w:fldCharType="separate"/>
          </w:r>
          <w:hyperlink w:anchor="_heading=h.30j0zll">
            <w:r>
              <w:rPr>
                <w:b/>
                <w:color w:val="000000"/>
              </w:rPr>
              <w:t>1. Introduction</w:t>
            </w:r>
            <w:r>
              <w:rPr>
                <w:b/>
                <w:color w:val="000000"/>
              </w:rPr>
              <w:tab/>
              <w:t>3</w:t>
            </w:r>
          </w:hyperlink>
        </w:p>
        <w:p w:rsidR="00FF0DAA" w:rsidRDefault="0029045F">
          <w:pPr>
            <w:widowControl w:val="0"/>
            <w:tabs>
              <w:tab w:val="right" w:pos="12000"/>
            </w:tabs>
            <w:spacing w:before="60" w:line="240" w:lineRule="auto"/>
            <w:ind w:left="360"/>
            <w:rPr>
              <w:color w:val="000000"/>
            </w:rPr>
          </w:pPr>
          <w:hyperlink w:anchor="_heading=h.1fob9te">
            <w:r>
              <w:rPr>
                <w:b/>
                <w:color w:val="000000"/>
              </w:rPr>
              <w:t>1.1. Overview</w:t>
            </w:r>
            <w:r>
              <w:rPr>
                <w:b/>
                <w:color w:val="000000"/>
              </w:rPr>
              <w:tab/>
              <w:t>3</w:t>
            </w:r>
          </w:hyperlink>
        </w:p>
        <w:p w:rsidR="00FF0DAA" w:rsidRDefault="0029045F">
          <w:pPr>
            <w:widowControl w:val="0"/>
            <w:tabs>
              <w:tab w:val="right" w:pos="12000"/>
            </w:tabs>
            <w:spacing w:before="60" w:line="240" w:lineRule="auto"/>
            <w:ind w:left="360"/>
            <w:rPr>
              <w:color w:val="000000"/>
            </w:rPr>
          </w:pPr>
          <w:hyperlink w:anchor="_heading=h.3znysh7">
            <w:r>
              <w:rPr>
                <w:b/>
                <w:color w:val="000000"/>
              </w:rPr>
              <w:t>1.2. Evo</w:t>
            </w:r>
            <w:r>
              <w:rPr>
                <w:b/>
                <w:color w:val="000000"/>
              </w:rPr>
              <w:t>lution of the Resilient .gov.uk Registry Services</w:t>
            </w:r>
            <w:r>
              <w:rPr>
                <w:b/>
                <w:color w:val="000000"/>
              </w:rPr>
              <w:tab/>
              <w:t>3</w:t>
            </w:r>
          </w:hyperlink>
        </w:p>
        <w:p w:rsidR="00FF0DAA" w:rsidRDefault="0029045F">
          <w:pPr>
            <w:widowControl w:val="0"/>
            <w:tabs>
              <w:tab w:val="right" w:pos="12000"/>
            </w:tabs>
            <w:spacing w:before="60" w:line="240" w:lineRule="auto"/>
            <w:ind w:left="360"/>
            <w:rPr>
              <w:color w:val="000000"/>
            </w:rPr>
          </w:pPr>
          <w:hyperlink w:anchor="_heading=h.2et92p0">
            <w:r>
              <w:rPr>
                <w:b/>
                <w:color w:val="000000"/>
              </w:rPr>
              <w:t>1.3. Adoption of new standards</w:t>
            </w:r>
            <w:r>
              <w:rPr>
                <w:b/>
                <w:color w:val="000000"/>
              </w:rPr>
              <w:tab/>
              <w:t>3</w:t>
            </w:r>
          </w:hyperlink>
        </w:p>
        <w:p w:rsidR="00FF0DAA" w:rsidRDefault="0029045F">
          <w:pPr>
            <w:widowControl w:val="0"/>
            <w:tabs>
              <w:tab w:val="right" w:pos="12000"/>
            </w:tabs>
            <w:spacing w:before="60" w:line="240" w:lineRule="auto"/>
            <w:rPr>
              <w:b/>
              <w:color w:val="000000"/>
            </w:rPr>
          </w:pPr>
          <w:hyperlink w:anchor="_heading=h.tyjcwt">
            <w:r>
              <w:rPr>
                <w:b/>
                <w:color w:val="000000"/>
              </w:rPr>
              <w:t>2. Definitions</w:t>
            </w:r>
            <w:r>
              <w:rPr>
                <w:b/>
                <w:color w:val="000000"/>
              </w:rPr>
              <w:tab/>
              <w:t>4</w:t>
            </w:r>
          </w:hyperlink>
        </w:p>
        <w:p w:rsidR="00FF0DAA" w:rsidRDefault="0029045F">
          <w:pPr>
            <w:widowControl w:val="0"/>
            <w:tabs>
              <w:tab w:val="right" w:pos="12000"/>
            </w:tabs>
            <w:spacing w:before="60" w:line="240" w:lineRule="auto"/>
            <w:rPr>
              <w:b/>
              <w:color w:val="000000"/>
            </w:rPr>
          </w:pPr>
          <w:hyperlink w:anchor="_heading=h.3dy6vkm">
            <w:r>
              <w:rPr>
                <w:b/>
                <w:color w:val="000000"/>
              </w:rPr>
              <w:t>3. Critical Registry Functions</w:t>
            </w:r>
            <w:r>
              <w:rPr>
                <w:b/>
                <w:color w:val="000000"/>
              </w:rPr>
              <w:tab/>
              <w:t>8</w:t>
            </w:r>
          </w:hyperlink>
        </w:p>
        <w:p w:rsidR="00FF0DAA" w:rsidRDefault="0029045F">
          <w:pPr>
            <w:widowControl w:val="0"/>
            <w:tabs>
              <w:tab w:val="right" w:pos="12000"/>
            </w:tabs>
            <w:spacing w:before="60" w:line="240" w:lineRule="auto"/>
            <w:ind w:left="360"/>
            <w:rPr>
              <w:color w:val="000000"/>
            </w:rPr>
          </w:pPr>
          <w:hyperlink w:anchor="_heading=h.1t3h5sf">
            <w:r>
              <w:rPr>
                <w:b/>
                <w:color w:val="000000"/>
              </w:rPr>
              <w:t>3.1. DNS resolution</w:t>
            </w:r>
            <w:r>
              <w:rPr>
                <w:b/>
                <w:color w:val="000000"/>
              </w:rPr>
              <w:tab/>
              <w:t>8</w:t>
            </w:r>
          </w:hyperlink>
        </w:p>
        <w:p w:rsidR="00FF0DAA" w:rsidRDefault="0029045F">
          <w:pPr>
            <w:widowControl w:val="0"/>
            <w:tabs>
              <w:tab w:val="right" w:pos="12000"/>
            </w:tabs>
            <w:spacing w:before="60" w:line="240" w:lineRule="auto"/>
            <w:ind w:left="360"/>
            <w:rPr>
              <w:color w:val="000000"/>
            </w:rPr>
          </w:pPr>
          <w:hyperlink w:anchor="_heading=h.4d34og8">
            <w:r>
              <w:rPr>
                <w:b/>
                <w:color w:val="000000"/>
              </w:rPr>
              <w:t>3.2. Registry performance and availability</w:t>
            </w:r>
            <w:r>
              <w:rPr>
                <w:b/>
                <w:color w:val="000000"/>
              </w:rPr>
              <w:tab/>
              <w:t>10</w:t>
            </w:r>
          </w:hyperlink>
        </w:p>
        <w:p w:rsidR="00FF0DAA" w:rsidRDefault="0029045F">
          <w:pPr>
            <w:widowControl w:val="0"/>
            <w:tabs>
              <w:tab w:val="right" w:pos="12000"/>
            </w:tabs>
            <w:spacing w:before="60" w:line="240" w:lineRule="auto"/>
            <w:ind w:left="720"/>
            <w:rPr>
              <w:color w:val="000000"/>
            </w:rPr>
          </w:pPr>
          <w:hyperlink w:anchor="_heading=h.2s8eyo1">
            <w:r>
              <w:rPr>
                <w:b/>
                <w:color w:val="000000"/>
              </w:rPr>
              <w:t>3.2.1. Performance and availability monitoring</w:t>
            </w:r>
            <w:r>
              <w:rPr>
                <w:b/>
                <w:color w:val="000000"/>
              </w:rPr>
              <w:tab/>
              <w:t>10</w:t>
            </w:r>
          </w:hyperlink>
        </w:p>
        <w:p w:rsidR="00FF0DAA" w:rsidRDefault="0029045F">
          <w:pPr>
            <w:widowControl w:val="0"/>
            <w:tabs>
              <w:tab w:val="right" w:pos="12000"/>
            </w:tabs>
            <w:spacing w:before="60" w:line="240" w:lineRule="auto"/>
            <w:ind w:left="720"/>
            <w:rPr>
              <w:color w:val="000000"/>
            </w:rPr>
          </w:pPr>
          <w:hyperlink w:anchor="_heading=h.17dp8vu">
            <w:r>
              <w:rPr>
                <w:b/>
                <w:color w:val="000000"/>
              </w:rPr>
              <w:t>3.2.2. Registry performance</w:t>
            </w:r>
            <w:r>
              <w:rPr>
                <w:b/>
                <w:color w:val="000000"/>
              </w:rPr>
              <w:tab/>
              <w:t>10</w:t>
            </w:r>
          </w:hyperlink>
        </w:p>
        <w:p w:rsidR="00FF0DAA" w:rsidRDefault="0029045F">
          <w:pPr>
            <w:widowControl w:val="0"/>
            <w:tabs>
              <w:tab w:val="right" w:pos="12000"/>
            </w:tabs>
            <w:spacing w:before="60" w:line="240" w:lineRule="auto"/>
            <w:ind w:left="720"/>
            <w:rPr>
              <w:color w:val="000000"/>
            </w:rPr>
          </w:pPr>
          <w:hyperlink w:anchor="_heading=h.3rdcrjn">
            <w:r>
              <w:rPr>
                <w:b/>
                <w:color w:val="000000"/>
              </w:rPr>
              <w:t>3.2.3. Action in the event of failure or potential failure to meet the Service Level Threshold for DNS availability</w:t>
            </w:r>
            <w:r>
              <w:rPr>
                <w:b/>
                <w:color w:val="000000"/>
              </w:rPr>
              <w:tab/>
              <w:t>11</w:t>
            </w:r>
          </w:hyperlink>
        </w:p>
        <w:p w:rsidR="00FF0DAA" w:rsidRDefault="0029045F">
          <w:pPr>
            <w:widowControl w:val="0"/>
            <w:tabs>
              <w:tab w:val="right" w:pos="12000"/>
            </w:tabs>
            <w:spacing w:before="60" w:line="240" w:lineRule="auto"/>
            <w:ind w:left="720"/>
            <w:rPr>
              <w:color w:val="000000"/>
            </w:rPr>
          </w:pPr>
          <w:hyperlink w:anchor="_heading=h.26in1rg">
            <w:r>
              <w:rPr>
                <w:b/>
                <w:color w:val="000000"/>
              </w:rPr>
              <w:t>3.3. Ensuring continued availability and resilience</w:t>
            </w:r>
            <w:r>
              <w:rPr>
                <w:b/>
                <w:color w:val="000000"/>
              </w:rPr>
              <w:tab/>
              <w:t>11</w:t>
            </w:r>
          </w:hyperlink>
        </w:p>
        <w:p w:rsidR="00FF0DAA" w:rsidRDefault="0029045F">
          <w:pPr>
            <w:widowControl w:val="0"/>
            <w:tabs>
              <w:tab w:val="right" w:pos="12000"/>
            </w:tabs>
            <w:spacing w:before="60" w:line="240" w:lineRule="auto"/>
            <w:ind w:left="360"/>
            <w:rPr>
              <w:color w:val="000000"/>
            </w:rPr>
          </w:pPr>
          <w:hyperlink w:anchor="_heading=h.lnxbz9">
            <w:r>
              <w:rPr>
                <w:b/>
                <w:color w:val="000000"/>
              </w:rPr>
              <w:t>3.4. Shared Registration System</w:t>
            </w:r>
            <w:r>
              <w:rPr>
                <w:b/>
                <w:color w:val="000000"/>
              </w:rPr>
              <w:tab/>
              <w:t>12</w:t>
            </w:r>
          </w:hyperlink>
        </w:p>
        <w:p w:rsidR="00FF0DAA" w:rsidRDefault="0029045F">
          <w:pPr>
            <w:widowControl w:val="0"/>
            <w:tabs>
              <w:tab w:val="right" w:pos="12000"/>
            </w:tabs>
            <w:spacing w:before="60" w:line="240" w:lineRule="auto"/>
            <w:ind w:left="360"/>
            <w:rPr>
              <w:color w:val="000000"/>
            </w:rPr>
          </w:pPr>
          <w:hyperlink w:anchor="_heading=h.35nkun2">
            <w:r>
              <w:rPr>
                <w:b/>
                <w:color w:val="000000"/>
              </w:rPr>
              <w:t>3.5. Registration Data Directory Services - RD</w:t>
            </w:r>
            <w:r>
              <w:rPr>
                <w:b/>
                <w:color w:val="000000"/>
              </w:rPr>
              <w:t>DS (WHOIS/RDAP)</w:t>
            </w:r>
            <w:r>
              <w:rPr>
                <w:b/>
                <w:color w:val="000000"/>
              </w:rPr>
              <w:tab/>
              <w:t>12</w:t>
            </w:r>
          </w:hyperlink>
        </w:p>
        <w:p w:rsidR="00FF0DAA" w:rsidRDefault="0029045F">
          <w:pPr>
            <w:widowControl w:val="0"/>
            <w:tabs>
              <w:tab w:val="right" w:pos="12000"/>
            </w:tabs>
            <w:spacing w:before="60" w:line="240" w:lineRule="auto"/>
            <w:ind w:left="360"/>
            <w:rPr>
              <w:color w:val="000000"/>
            </w:rPr>
          </w:pPr>
          <w:hyperlink w:anchor="_heading=h.1ksv4uv">
            <w:r>
              <w:rPr>
                <w:b/>
                <w:color w:val="000000"/>
              </w:rPr>
              <w:t>3.6. Registry Data Escrow</w:t>
            </w:r>
            <w:r>
              <w:rPr>
                <w:b/>
                <w:color w:val="000000"/>
              </w:rPr>
              <w:tab/>
              <w:t>14</w:t>
            </w:r>
          </w:hyperlink>
        </w:p>
        <w:p w:rsidR="00FF0DAA" w:rsidRDefault="0029045F">
          <w:pPr>
            <w:widowControl w:val="0"/>
            <w:tabs>
              <w:tab w:val="right" w:pos="12000"/>
            </w:tabs>
            <w:spacing w:before="60" w:line="240" w:lineRule="auto"/>
            <w:ind w:left="360"/>
            <w:rPr>
              <w:color w:val="000000"/>
            </w:rPr>
          </w:pPr>
          <w:hyperlink w:anchor="_heading=h.44sinio">
            <w:r>
              <w:rPr>
                <w:b/>
                <w:color w:val="000000"/>
              </w:rPr>
              <w:t>3.7. DNSSEC</w:t>
            </w:r>
            <w:r>
              <w:rPr>
                <w:b/>
                <w:color w:val="000000"/>
              </w:rPr>
              <w:tab/>
              <w:t>15</w:t>
            </w:r>
          </w:hyperlink>
        </w:p>
        <w:p w:rsidR="00FF0DAA" w:rsidRDefault="0029045F">
          <w:pPr>
            <w:widowControl w:val="0"/>
            <w:tabs>
              <w:tab w:val="right" w:pos="12000"/>
            </w:tabs>
            <w:spacing w:before="60" w:line="240" w:lineRule="auto"/>
            <w:ind w:left="360"/>
            <w:rPr>
              <w:color w:val="000000"/>
            </w:rPr>
          </w:pPr>
          <w:hyperlink w:anchor="_heading=h.2jxsxqh">
            <w:r>
              <w:rPr>
                <w:b/>
                <w:color w:val="000000"/>
              </w:rPr>
              <w:t>3.8. Use of Registry and query data</w:t>
            </w:r>
            <w:r>
              <w:rPr>
                <w:b/>
                <w:color w:val="000000"/>
              </w:rPr>
              <w:tab/>
              <w:t>16</w:t>
            </w:r>
          </w:hyperlink>
        </w:p>
        <w:p w:rsidR="00FF0DAA" w:rsidRDefault="0029045F">
          <w:pPr>
            <w:widowControl w:val="0"/>
            <w:tabs>
              <w:tab w:val="right" w:pos="12000"/>
            </w:tabs>
            <w:spacing w:before="60" w:line="240" w:lineRule="auto"/>
            <w:rPr>
              <w:b/>
              <w:color w:val="000000"/>
            </w:rPr>
          </w:pPr>
          <w:hyperlink w:anchor="_heading=h.z337ya">
            <w:r>
              <w:rPr>
                <w:b/>
                <w:color w:val="000000"/>
              </w:rPr>
              <w:t>4. Other Registry Functions</w:t>
            </w:r>
            <w:r>
              <w:rPr>
                <w:b/>
                <w:color w:val="000000"/>
              </w:rPr>
              <w:tab/>
              <w:t>16</w:t>
            </w:r>
          </w:hyperlink>
        </w:p>
        <w:p w:rsidR="00FF0DAA" w:rsidRDefault="0029045F">
          <w:pPr>
            <w:widowControl w:val="0"/>
            <w:tabs>
              <w:tab w:val="right" w:pos="12000"/>
            </w:tabs>
            <w:spacing w:before="60" w:line="240" w:lineRule="auto"/>
            <w:ind w:left="360"/>
            <w:rPr>
              <w:color w:val="000000"/>
            </w:rPr>
          </w:pPr>
          <w:hyperlink w:anchor="_heading=h.3j2qqm3">
            <w:r>
              <w:rPr>
                <w:b/>
                <w:color w:val="000000"/>
              </w:rPr>
              <w:t>4.1. Changes to Registry Data</w:t>
            </w:r>
            <w:r>
              <w:rPr>
                <w:b/>
                <w:color w:val="000000"/>
              </w:rPr>
              <w:tab/>
              <w:t>16</w:t>
            </w:r>
          </w:hyperlink>
        </w:p>
        <w:p w:rsidR="00FF0DAA" w:rsidRDefault="0029045F">
          <w:pPr>
            <w:widowControl w:val="0"/>
            <w:tabs>
              <w:tab w:val="right" w:pos="12000"/>
            </w:tabs>
            <w:spacing w:before="60" w:line="240" w:lineRule="auto"/>
            <w:ind w:left="720"/>
            <w:rPr>
              <w:color w:val="000000"/>
            </w:rPr>
          </w:pPr>
          <w:hyperlink w:anchor="_heading=h.1y810tw">
            <w:r>
              <w:rPr>
                <w:b/>
                <w:color w:val="000000"/>
              </w:rPr>
              <w:t>4.1.1. All Changes to Registry Data</w:t>
            </w:r>
            <w:r>
              <w:rPr>
                <w:b/>
                <w:color w:val="000000"/>
              </w:rPr>
              <w:tab/>
              <w:t>16</w:t>
            </w:r>
          </w:hyperlink>
        </w:p>
        <w:p w:rsidR="00FF0DAA" w:rsidRDefault="0029045F">
          <w:pPr>
            <w:widowControl w:val="0"/>
            <w:tabs>
              <w:tab w:val="right" w:pos="12000"/>
            </w:tabs>
            <w:spacing w:before="60" w:line="240" w:lineRule="auto"/>
            <w:ind w:left="720"/>
            <w:rPr>
              <w:color w:val="000000"/>
            </w:rPr>
          </w:pPr>
          <w:hyperlink w:anchor="_heading=h.4i7ojhp">
            <w:r>
              <w:rPr>
                <w:b/>
                <w:color w:val="000000"/>
              </w:rPr>
              <w:t>4.1.2. Registry domain record checks</w:t>
            </w:r>
            <w:r>
              <w:rPr>
                <w:b/>
                <w:color w:val="000000"/>
              </w:rPr>
              <w:tab/>
              <w:t>17</w:t>
            </w:r>
          </w:hyperlink>
        </w:p>
        <w:p w:rsidR="00FF0DAA" w:rsidRDefault="0029045F">
          <w:pPr>
            <w:widowControl w:val="0"/>
            <w:tabs>
              <w:tab w:val="right" w:pos="12000"/>
            </w:tabs>
            <w:spacing w:before="60" w:line="240" w:lineRule="auto"/>
            <w:ind w:left="720"/>
            <w:rPr>
              <w:color w:val="000000"/>
            </w:rPr>
          </w:pPr>
          <w:hyperlink w:anchor="_heading=h.2xcytpi">
            <w:r>
              <w:rPr>
                <w:b/>
                <w:color w:val="000000"/>
              </w:rPr>
              <w:t>4.1.3. Registry data changes</w:t>
            </w:r>
            <w:r>
              <w:rPr>
                <w:b/>
                <w:color w:val="000000"/>
              </w:rPr>
              <w:tab/>
              <w:t>18</w:t>
            </w:r>
          </w:hyperlink>
        </w:p>
        <w:p w:rsidR="00FF0DAA" w:rsidRDefault="0029045F">
          <w:pPr>
            <w:widowControl w:val="0"/>
            <w:tabs>
              <w:tab w:val="right" w:pos="12000"/>
            </w:tabs>
            <w:spacing w:before="60" w:line="240" w:lineRule="auto"/>
            <w:ind w:left="720"/>
            <w:rPr>
              <w:color w:val="000000"/>
            </w:rPr>
          </w:pPr>
          <w:hyperlink w:anchor="_heading=h.1ci93xb">
            <w:r>
              <w:rPr>
                <w:b/>
                <w:color w:val="000000"/>
              </w:rPr>
              <w:t>4.1.4. Changes to Registry Data that affect many Registrants</w:t>
            </w:r>
            <w:r>
              <w:rPr>
                <w:b/>
                <w:color w:val="000000"/>
              </w:rPr>
              <w:tab/>
              <w:t>18</w:t>
            </w:r>
          </w:hyperlink>
        </w:p>
        <w:p w:rsidR="00FF0DAA" w:rsidRDefault="0029045F">
          <w:pPr>
            <w:widowControl w:val="0"/>
            <w:tabs>
              <w:tab w:val="right" w:pos="12000"/>
            </w:tabs>
            <w:spacing w:before="60" w:line="240" w:lineRule="auto"/>
            <w:ind w:left="720"/>
            <w:rPr>
              <w:color w:val="000000"/>
            </w:rPr>
          </w:pPr>
          <w:hyperlink w:anchor="_heading=h.3whwml4">
            <w:r>
              <w:rPr>
                <w:b/>
                <w:color w:val="000000"/>
              </w:rPr>
              <w:t>4.1.5. Emergency Changes</w:t>
            </w:r>
            <w:r>
              <w:rPr>
                <w:b/>
                <w:color w:val="000000"/>
              </w:rPr>
              <w:tab/>
              <w:t>18</w:t>
            </w:r>
          </w:hyperlink>
        </w:p>
        <w:p w:rsidR="00FF0DAA" w:rsidRDefault="0029045F">
          <w:pPr>
            <w:widowControl w:val="0"/>
            <w:tabs>
              <w:tab w:val="right" w:pos="12000"/>
            </w:tabs>
            <w:spacing w:before="60" w:line="240" w:lineRule="auto"/>
            <w:ind w:left="360"/>
            <w:rPr>
              <w:color w:val="000000"/>
            </w:rPr>
          </w:pPr>
          <w:hyperlink w:anchor="_heading=h.2bn6wsx">
            <w:r>
              <w:rPr>
                <w:b/>
                <w:color w:val="000000"/>
              </w:rPr>
              <w:t>4.2. Fees from Registrants and Registrars</w:t>
            </w:r>
            <w:r>
              <w:rPr>
                <w:b/>
                <w:color w:val="000000"/>
              </w:rPr>
              <w:tab/>
              <w:t>19</w:t>
            </w:r>
          </w:hyperlink>
        </w:p>
        <w:p w:rsidR="00FF0DAA" w:rsidRDefault="0029045F">
          <w:pPr>
            <w:widowControl w:val="0"/>
            <w:tabs>
              <w:tab w:val="right" w:pos="12000"/>
            </w:tabs>
            <w:spacing w:before="60" w:line="240" w:lineRule="auto"/>
            <w:ind w:left="360"/>
            <w:rPr>
              <w:color w:val="000000"/>
            </w:rPr>
          </w:pPr>
          <w:hyperlink w:anchor="_heading=h.qsh70q">
            <w:r>
              <w:rPr>
                <w:b/>
                <w:color w:val="000000"/>
              </w:rPr>
              <w:t>4.3. Registrar billing and accounting tools</w:t>
            </w:r>
            <w:r>
              <w:rPr>
                <w:b/>
                <w:color w:val="000000"/>
              </w:rPr>
              <w:tab/>
              <w:t>20</w:t>
            </w:r>
          </w:hyperlink>
        </w:p>
        <w:p w:rsidR="00FF0DAA" w:rsidRDefault="0029045F">
          <w:pPr>
            <w:widowControl w:val="0"/>
            <w:tabs>
              <w:tab w:val="right" w:pos="12000"/>
            </w:tabs>
            <w:spacing w:before="60" w:line="240" w:lineRule="auto"/>
            <w:ind w:left="360"/>
            <w:rPr>
              <w:color w:val="000000"/>
            </w:rPr>
          </w:pPr>
          <w:hyperlink w:anchor="_heading=h.3as4poj">
            <w:r>
              <w:rPr>
                <w:b/>
                <w:color w:val="000000"/>
              </w:rPr>
              <w:t>4.4. IDN Tables</w:t>
            </w:r>
            <w:r>
              <w:rPr>
                <w:b/>
                <w:color w:val="000000"/>
              </w:rPr>
              <w:tab/>
              <w:t>20</w:t>
            </w:r>
          </w:hyperlink>
        </w:p>
        <w:p w:rsidR="00FF0DAA" w:rsidRDefault="0029045F">
          <w:pPr>
            <w:widowControl w:val="0"/>
            <w:tabs>
              <w:tab w:val="right" w:pos="12000"/>
            </w:tabs>
            <w:spacing w:before="60" w:line="240" w:lineRule="auto"/>
            <w:ind w:left="360"/>
            <w:rPr>
              <w:color w:val="000000"/>
            </w:rPr>
          </w:pPr>
          <w:hyperlink w:anchor="_heading=h.1pxezwc">
            <w:r>
              <w:rPr>
                <w:b/>
                <w:color w:val="000000"/>
              </w:rPr>
              <w:t>4.5. Domain lifecycle</w:t>
            </w:r>
            <w:r>
              <w:rPr>
                <w:b/>
                <w:color w:val="000000"/>
              </w:rPr>
              <w:tab/>
              <w:t>21</w:t>
            </w:r>
          </w:hyperlink>
        </w:p>
        <w:p w:rsidR="00FF0DAA" w:rsidRDefault="0029045F">
          <w:pPr>
            <w:widowControl w:val="0"/>
            <w:tabs>
              <w:tab w:val="right" w:pos="12000"/>
            </w:tabs>
            <w:spacing w:before="60" w:line="240" w:lineRule="auto"/>
            <w:ind w:left="360"/>
            <w:rPr>
              <w:color w:val="000000"/>
            </w:rPr>
          </w:pPr>
          <w:hyperlink w:anchor="_heading=h.49x2ik5">
            <w:r>
              <w:rPr>
                <w:b/>
                <w:color w:val="000000"/>
              </w:rPr>
              <w:t>4.6. ID verification checks</w:t>
            </w:r>
            <w:r>
              <w:rPr>
                <w:b/>
                <w:color w:val="000000"/>
              </w:rPr>
              <w:tab/>
              <w:t>22</w:t>
            </w:r>
          </w:hyperlink>
        </w:p>
        <w:p w:rsidR="00FF0DAA" w:rsidRDefault="0029045F">
          <w:pPr>
            <w:widowControl w:val="0"/>
            <w:tabs>
              <w:tab w:val="right" w:pos="12000"/>
            </w:tabs>
            <w:spacing w:before="60" w:line="240" w:lineRule="auto"/>
            <w:ind w:left="360"/>
            <w:rPr>
              <w:color w:val="000000"/>
            </w:rPr>
          </w:pPr>
          <w:hyperlink w:anchor="_heading=h.2p2csry">
            <w:r>
              <w:rPr>
                <w:b/>
                <w:color w:val="000000"/>
              </w:rPr>
              <w:t>4.7. Registry Lock</w:t>
            </w:r>
            <w:r>
              <w:rPr>
                <w:b/>
                <w:color w:val="000000"/>
              </w:rPr>
              <w:tab/>
              <w:t>22</w:t>
            </w:r>
          </w:hyperlink>
        </w:p>
        <w:p w:rsidR="00FF0DAA" w:rsidRDefault="0029045F">
          <w:pPr>
            <w:widowControl w:val="0"/>
            <w:tabs>
              <w:tab w:val="right" w:pos="12000"/>
            </w:tabs>
            <w:spacing w:before="60" w:line="240" w:lineRule="auto"/>
            <w:rPr>
              <w:b/>
              <w:color w:val="000000"/>
            </w:rPr>
          </w:pPr>
          <w:hyperlink w:anchor="_heading=h.147n2zr">
            <w:r>
              <w:rPr>
                <w:b/>
                <w:color w:val="000000"/>
              </w:rPr>
              <w:t>5. Registrar services</w:t>
            </w:r>
            <w:r>
              <w:rPr>
                <w:b/>
                <w:color w:val="000000"/>
              </w:rPr>
              <w:tab/>
              <w:t>23</w:t>
            </w:r>
          </w:hyperlink>
        </w:p>
        <w:p w:rsidR="00FF0DAA" w:rsidRDefault="0029045F">
          <w:pPr>
            <w:widowControl w:val="0"/>
            <w:tabs>
              <w:tab w:val="right" w:pos="12000"/>
            </w:tabs>
            <w:spacing w:before="60" w:line="240" w:lineRule="auto"/>
            <w:ind w:left="360"/>
            <w:rPr>
              <w:color w:val="000000"/>
            </w:rPr>
          </w:pPr>
          <w:hyperlink w:anchor="_heading=h.3o7alnk">
            <w:r>
              <w:rPr>
                <w:b/>
                <w:color w:val="000000"/>
              </w:rPr>
              <w:t>5.1. Registrar of last resort</w:t>
            </w:r>
            <w:r>
              <w:rPr>
                <w:b/>
                <w:color w:val="000000"/>
              </w:rPr>
              <w:tab/>
              <w:t>23</w:t>
            </w:r>
          </w:hyperlink>
        </w:p>
        <w:p w:rsidR="00FF0DAA" w:rsidRDefault="0029045F">
          <w:pPr>
            <w:widowControl w:val="0"/>
            <w:tabs>
              <w:tab w:val="right" w:pos="12000"/>
            </w:tabs>
            <w:spacing w:before="60" w:line="240" w:lineRule="auto"/>
            <w:ind w:left="360"/>
            <w:rPr>
              <w:color w:val="000000"/>
            </w:rPr>
          </w:pPr>
          <w:hyperlink w:anchor="_heading=h.23ckvvd">
            <w:r>
              <w:rPr>
                <w:b/>
                <w:color w:val="000000"/>
              </w:rPr>
              <w:t>5.2. Being a .gov.uk Registrar</w:t>
            </w:r>
            <w:r>
              <w:rPr>
                <w:b/>
                <w:color w:val="000000"/>
              </w:rPr>
              <w:tab/>
              <w:t>24</w:t>
            </w:r>
          </w:hyperlink>
        </w:p>
        <w:p w:rsidR="00FF0DAA" w:rsidRDefault="0029045F">
          <w:pPr>
            <w:widowControl w:val="0"/>
            <w:tabs>
              <w:tab w:val="right" w:pos="12000"/>
            </w:tabs>
            <w:spacing w:before="60" w:line="240" w:lineRule="auto"/>
            <w:ind w:left="360"/>
            <w:rPr>
              <w:color w:val="000000"/>
            </w:rPr>
          </w:pPr>
          <w:hyperlink w:anchor="_heading=h.ihv636">
            <w:r>
              <w:rPr>
                <w:b/>
                <w:color w:val="000000"/>
              </w:rPr>
              <w:t>5.3. Support services for Registrars</w:t>
            </w:r>
            <w:r>
              <w:rPr>
                <w:b/>
                <w:color w:val="000000"/>
              </w:rPr>
              <w:tab/>
            </w:r>
            <w:r>
              <w:rPr>
                <w:b/>
                <w:color w:val="000000"/>
              </w:rPr>
              <w:t>24</w:t>
            </w:r>
          </w:hyperlink>
        </w:p>
        <w:p w:rsidR="00FF0DAA" w:rsidRDefault="0029045F">
          <w:pPr>
            <w:widowControl w:val="0"/>
            <w:tabs>
              <w:tab w:val="right" w:pos="12000"/>
            </w:tabs>
            <w:spacing w:before="60" w:line="240" w:lineRule="auto"/>
            <w:ind w:left="360"/>
            <w:rPr>
              <w:color w:val="000000"/>
            </w:rPr>
          </w:pPr>
          <w:hyperlink w:anchor="_heading=h.32hioqz">
            <w:r>
              <w:rPr>
                <w:b/>
                <w:color w:val="000000"/>
              </w:rPr>
              <w:t>5.4. Web interface for common domain management functions</w:t>
            </w:r>
            <w:r>
              <w:rPr>
                <w:b/>
                <w:color w:val="000000"/>
              </w:rPr>
              <w:tab/>
              <w:t>25</w:t>
            </w:r>
          </w:hyperlink>
        </w:p>
        <w:p w:rsidR="00FF0DAA" w:rsidRDefault="0029045F">
          <w:pPr>
            <w:widowControl w:val="0"/>
            <w:tabs>
              <w:tab w:val="right" w:pos="12000"/>
            </w:tabs>
            <w:spacing w:before="60" w:line="240" w:lineRule="auto"/>
            <w:rPr>
              <w:b/>
              <w:color w:val="000000"/>
            </w:rPr>
          </w:pPr>
          <w:hyperlink w:anchor="_heading=h.1hmsyys">
            <w:r>
              <w:rPr>
                <w:b/>
                <w:color w:val="000000"/>
              </w:rPr>
              <w:t>6. Monitoring the Registry</w:t>
            </w:r>
            <w:r>
              <w:rPr>
                <w:b/>
                <w:color w:val="000000"/>
              </w:rPr>
              <w:tab/>
              <w:t>27</w:t>
            </w:r>
          </w:hyperlink>
        </w:p>
        <w:p w:rsidR="00FF0DAA" w:rsidRDefault="0029045F">
          <w:pPr>
            <w:widowControl w:val="0"/>
            <w:tabs>
              <w:tab w:val="right" w:pos="12000"/>
            </w:tabs>
            <w:spacing w:before="60" w:line="240" w:lineRule="auto"/>
            <w:ind w:left="360"/>
            <w:rPr>
              <w:color w:val="000000"/>
            </w:rPr>
          </w:pPr>
          <w:hyperlink w:anchor="_heading=h.41mghml">
            <w:r>
              <w:rPr>
                <w:b/>
                <w:color w:val="000000"/>
              </w:rPr>
              <w:t>6.1. Ongoing Registry Data checks</w:t>
            </w:r>
            <w:r>
              <w:rPr>
                <w:b/>
                <w:color w:val="000000"/>
              </w:rPr>
              <w:tab/>
              <w:t>27</w:t>
            </w:r>
          </w:hyperlink>
        </w:p>
        <w:p w:rsidR="00FF0DAA" w:rsidRDefault="0029045F">
          <w:pPr>
            <w:widowControl w:val="0"/>
            <w:tabs>
              <w:tab w:val="right" w:pos="12000"/>
            </w:tabs>
            <w:spacing w:before="60" w:line="240" w:lineRule="auto"/>
            <w:ind w:left="360"/>
            <w:rPr>
              <w:color w:val="000000"/>
            </w:rPr>
          </w:pPr>
          <w:hyperlink w:anchor="_heading=h.2grqrue">
            <w:r>
              <w:rPr>
                <w:b/>
                <w:color w:val="000000"/>
              </w:rPr>
              <w:t>6.2. Abuse mitigation and detection</w:t>
            </w:r>
            <w:r>
              <w:rPr>
                <w:b/>
                <w:color w:val="000000"/>
              </w:rPr>
              <w:tab/>
              <w:t>28</w:t>
            </w:r>
          </w:hyperlink>
        </w:p>
        <w:p w:rsidR="00FF0DAA" w:rsidRDefault="0029045F">
          <w:pPr>
            <w:widowControl w:val="0"/>
            <w:tabs>
              <w:tab w:val="right" w:pos="12000"/>
            </w:tabs>
            <w:spacing w:before="60" w:line="240" w:lineRule="auto"/>
            <w:ind w:left="360"/>
            <w:rPr>
              <w:color w:val="000000"/>
            </w:rPr>
          </w:pPr>
          <w:hyperlink w:anchor="_heading=h.vx1227">
            <w:r>
              <w:rPr>
                <w:b/>
                <w:color w:val="000000"/>
              </w:rPr>
              <w:t>6.3. Anomaly detection</w:t>
            </w:r>
            <w:r>
              <w:rPr>
                <w:b/>
                <w:color w:val="000000"/>
              </w:rPr>
              <w:tab/>
              <w:t>28</w:t>
            </w:r>
          </w:hyperlink>
        </w:p>
        <w:p w:rsidR="00FF0DAA" w:rsidRDefault="0029045F">
          <w:pPr>
            <w:widowControl w:val="0"/>
            <w:tabs>
              <w:tab w:val="right" w:pos="12000"/>
            </w:tabs>
            <w:spacing w:before="60" w:line="240" w:lineRule="auto"/>
            <w:ind w:left="360"/>
            <w:rPr>
              <w:color w:val="000000"/>
            </w:rPr>
          </w:pPr>
          <w:hyperlink w:anchor="_heading=h.3fwokq0">
            <w:r>
              <w:rPr>
                <w:b/>
                <w:color w:val="000000"/>
              </w:rPr>
              <w:t>6.4. Analytics and technical management meetings</w:t>
            </w:r>
            <w:r>
              <w:rPr>
                <w:b/>
                <w:color w:val="000000"/>
              </w:rPr>
              <w:tab/>
              <w:t>28</w:t>
            </w:r>
          </w:hyperlink>
        </w:p>
        <w:p w:rsidR="00FF0DAA" w:rsidRDefault="0029045F">
          <w:pPr>
            <w:widowControl w:val="0"/>
            <w:tabs>
              <w:tab w:val="right" w:pos="12000"/>
            </w:tabs>
            <w:spacing w:before="60" w:line="240" w:lineRule="auto"/>
            <w:rPr>
              <w:b/>
              <w:color w:val="000000"/>
            </w:rPr>
          </w:pPr>
          <w:hyperlink w:anchor="_heading=h.1v1yuxt">
            <w:r>
              <w:rPr>
                <w:b/>
                <w:color w:val="000000"/>
              </w:rPr>
              <w:t>7. Key Performance Indicators (KPIs)</w:t>
            </w:r>
            <w:r>
              <w:rPr>
                <w:b/>
                <w:color w:val="000000"/>
              </w:rPr>
              <w:tab/>
              <w:t>30</w:t>
            </w:r>
          </w:hyperlink>
        </w:p>
        <w:p w:rsidR="00FF0DAA" w:rsidRDefault="0029045F">
          <w:pPr>
            <w:widowControl w:val="0"/>
            <w:tabs>
              <w:tab w:val="right" w:pos="12000"/>
            </w:tabs>
            <w:spacing w:before="60" w:line="240" w:lineRule="auto"/>
            <w:rPr>
              <w:b/>
              <w:color w:val="000000"/>
            </w:rPr>
          </w:pPr>
          <w:hyperlink w:anchor="_heading=h.4f1mdlm">
            <w:r>
              <w:rPr>
                <w:b/>
                <w:color w:val="000000"/>
              </w:rPr>
              <w:t>8. Incidents</w:t>
            </w:r>
            <w:r>
              <w:rPr>
                <w:b/>
                <w:color w:val="000000"/>
              </w:rPr>
              <w:tab/>
              <w:t>31</w:t>
            </w:r>
          </w:hyperlink>
        </w:p>
        <w:p w:rsidR="00FF0DAA" w:rsidRDefault="0029045F">
          <w:pPr>
            <w:widowControl w:val="0"/>
            <w:tabs>
              <w:tab w:val="right" w:pos="12000"/>
            </w:tabs>
            <w:spacing w:before="60" w:line="240" w:lineRule="auto"/>
            <w:ind w:left="360"/>
            <w:rPr>
              <w:color w:val="000000"/>
            </w:rPr>
          </w:pPr>
          <w:hyperlink w:anchor="_heading=h.2u6wntf">
            <w:r>
              <w:rPr>
                <w:b/>
                <w:color w:val="000000"/>
              </w:rPr>
              <w:t>8.1. External Dependencies</w:t>
            </w:r>
            <w:r>
              <w:rPr>
                <w:b/>
                <w:color w:val="000000"/>
              </w:rPr>
              <w:tab/>
              <w:t>31</w:t>
            </w:r>
          </w:hyperlink>
        </w:p>
        <w:p w:rsidR="00FF0DAA" w:rsidRDefault="0029045F">
          <w:pPr>
            <w:widowControl w:val="0"/>
            <w:tabs>
              <w:tab w:val="right" w:pos="12000"/>
            </w:tabs>
            <w:spacing w:before="60" w:line="240" w:lineRule="auto"/>
            <w:ind w:left="360"/>
            <w:rPr>
              <w:color w:val="000000"/>
            </w:rPr>
          </w:pPr>
          <w:hyperlink w:anchor="_heading=h.19c6y18">
            <w:r>
              <w:rPr>
                <w:b/>
                <w:color w:val="000000"/>
              </w:rPr>
              <w:t>8.2. Emergency Incidents</w:t>
            </w:r>
            <w:r>
              <w:rPr>
                <w:b/>
                <w:color w:val="000000"/>
              </w:rPr>
              <w:tab/>
            </w:r>
            <w:r>
              <w:rPr>
                <w:b/>
                <w:color w:val="000000"/>
              </w:rPr>
              <w:t>31</w:t>
            </w:r>
          </w:hyperlink>
        </w:p>
        <w:p w:rsidR="00FF0DAA" w:rsidRDefault="0029045F">
          <w:pPr>
            <w:widowControl w:val="0"/>
            <w:tabs>
              <w:tab w:val="right" w:pos="12000"/>
            </w:tabs>
            <w:spacing w:before="60" w:line="240" w:lineRule="auto"/>
            <w:ind w:left="360"/>
            <w:rPr>
              <w:color w:val="000000"/>
            </w:rPr>
          </w:pPr>
          <w:hyperlink w:anchor="_heading=h.3tbugp1">
            <w:r>
              <w:rPr>
                <w:b/>
                <w:color w:val="000000"/>
              </w:rPr>
              <w:t>8.3. Major Incidents</w:t>
            </w:r>
            <w:r>
              <w:rPr>
                <w:b/>
                <w:color w:val="000000"/>
              </w:rPr>
              <w:tab/>
              <w:t>31</w:t>
            </w:r>
          </w:hyperlink>
        </w:p>
        <w:p w:rsidR="00FF0DAA" w:rsidRDefault="0029045F">
          <w:pPr>
            <w:widowControl w:val="0"/>
            <w:tabs>
              <w:tab w:val="right" w:pos="12000"/>
            </w:tabs>
            <w:spacing w:before="60" w:line="240" w:lineRule="auto"/>
            <w:ind w:left="360"/>
            <w:rPr>
              <w:color w:val="000000"/>
            </w:rPr>
          </w:pPr>
          <w:hyperlink w:anchor="_heading=h.28h4qwu">
            <w:r>
              <w:rPr>
                <w:b/>
                <w:color w:val="000000"/>
              </w:rPr>
              <w:t>8.4. Major Business Incident</w:t>
            </w:r>
            <w:r>
              <w:rPr>
                <w:b/>
                <w:color w:val="000000"/>
              </w:rPr>
              <w:tab/>
              <w:t>31</w:t>
            </w:r>
          </w:hyperlink>
        </w:p>
        <w:p w:rsidR="00FF0DAA" w:rsidRDefault="0029045F">
          <w:pPr>
            <w:widowControl w:val="0"/>
            <w:tabs>
              <w:tab w:val="right" w:pos="12000"/>
            </w:tabs>
            <w:spacing w:before="60" w:line="240" w:lineRule="auto"/>
            <w:rPr>
              <w:b/>
              <w:color w:val="000000"/>
            </w:rPr>
          </w:pPr>
          <w:hyperlink w:anchor="_heading=h.nmf14n">
            <w:r>
              <w:rPr>
                <w:b/>
                <w:color w:val="000000"/>
              </w:rPr>
              <w:t>9. Security assurance requirements</w:t>
            </w:r>
            <w:r>
              <w:rPr>
                <w:b/>
                <w:color w:val="000000"/>
              </w:rPr>
              <w:tab/>
              <w:t>32</w:t>
            </w:r>
          </w:hyperlink>
        </w:p>
        <w:p w:rsidR="00FF0DAA" w:rsidRDefault="0029045F">
          <w:pPr>
            <w:widowControl w:val="0"/>
            <w:tabs>
              <w:tab w:val="right" w:pos="12000"/>
            </w:tabs>
            <w:spacing w:before="60" w:line="240" w:lineRule="auto"/>
            <w:rPr>
              <w:b/>
              <w:color w:val="000000"/>
            </w:rPr>
          </w:pPr>
          <w:hyperlink w:anchor="_heading=h.37m2jsg">
            <w:r>
              <w:rPr>
                <w:b/>
                <w:color w:val="000000"/>
              </w:rPr>
              <w:t>10. Digital assurance requirements</w:t>
            </w:r>
            <w:r>
              <w:rPr>
                <w:b/>
                <w:color w:val="000000"/>
              </w:rPr>
              <w:tab/>
              <w:t>33</w:t>
            </w:r>
          </w:hyperlink>
        </w:p>
        <w:p w:rsidR="00FF0DAA" w:rsidRDefault="0029045F">
          <w:pPr>
            <w:widowControl w:val="0"/>
            <w:tabs>
              <w:tab w:val="right" w:pos="12000"/>
            </w:tabs>
            <w:spacing w:before="60" w:line="240" w:lineRule="auto"/>
            <w:rPr>
              <w:b/>
              <w:color w:val="000000"/>
            </w:rPr>
          </w:pPr>
          <w:hyperlink w:anchor="_heading=h.1mrcu09">
            <w:r>
              <w:rPr>
                <w:b/>
                <w:color w:val="000000"/>
              </w:rPr>
              <w:t>11. Business continuity and disaster recovery (BCDR) requirements</w:t>
            </w:r>
            <w:r>
              <w:rPr>
                <w:b/>
                <w:color w:val="000000"/>
              </w:rPr>
              <w:tab/>
              <w:t>33</w:t>
            </w:r>
          </w:hyperlink>
        </w:p>
        <w:p w:rsidR="00FF0DAA" w:rsidRDefault="0029045F">
          <w:pPr>
            <w:widowControl w:val="0"/>
            <w:tabs>
              <w:tab w:val="right" w:pos="12000"/>
            </w:tabs>
            <w:spacing w:before="60" w:line="240" w:lineRule="auto"/>
            <w:ind w:left="360"/>
            <w:rPr>
              <w:color w:val="000000"/>
            </w:rPr>
          </w:pPr>
          <w:hyperlink w:anchor="_heading=h.46r0co2">
            <w:r>
              <w:rPr>
                <w:b/>
                <w:color w:val="000000"/>
              </w:rPr>
              <w:t>11.1. BCDR Plan</w:t>
            </w:r>
            <w:r>
              <w:rPr>
                <w:b/>
                <w:color w:val="000000"/>
              </w:rPr>
              <w:tab/>
              <w:t>33</w:t>
            </w:r>
          </w:hyperlink>
        </w:p>
        <w:p w:rsidR="00FF0DAA" w:rsidRDefault="0029045F">
          <w:pPr>
            <w:widowControl w:val="0"/>
            <w:tabs>
              <w:tab w:val="right" w:pos="12000"/>
            </w:tabs>
            <w:spacing w:before="60" w:line="240" w:lineRule="auto"/>
            <w:ind w:left="360"/>
            <w:rPr>
              <w:color w:val="000000"/>
            </w:rPr>
          </w:pPr>
          <w:hyperlink w:anchor="_heading=h.2lwamvv">
            <w:r>
              <w:rPr>
                <w:b/>
                <w:color w:val="000000"/>
              </w:rPr>
              <w:t>11.</w:t>
            </w:r>
            <w:r>
              <w:rPr>
                <w:b/>
                <w:color w:val="000000"/>
              </w:rPr>
              <w:t>2. Emergency transition plan</w:t>
            </w:r>
            <w:r>
              <w:rPr>
                <w:b/>
                <w:color w:val="000000"/>
              </w:rPr>
              <w:tab/>
              <w:t>34</w:t>
            </w:r>
          </w:hyperlink>
        </w:p>
        <w:p w:rsidR="00FF0DAA" w:rsidRDefault="0029045F">
          <w:pPr>
            <w:widowControl w:val="0"/>
            <w:tabs>
              <w:tab w:val="right" w:pos="12000"/>
            </w:tabs>
            <w:spacing w:before="60" w:line="240" w:lineRule="auto"/>
            <w:rPr>
              <w:b/>
              <w:color w:val="000000"/>
            </w:rPr>
          </w:pPr>
          <w:hyperlink w:anchor="_heading=h.111kx3o">
            <w:r>
              <w:rPr>
                <w:b/>
                <w:color w:val="000000"/>
              </w:rPr>
              <w:t>12. Registrar channel</w:t>
            </w:r>
            <w:r>
              <w:rPr>
                <w:b/>
                <w:color w:val="000000"/>
              </w:rPr>
              <w:tab/>
              <w:t>35</w:t>
            </w:r>
          </w:hyperlink>
        </w:p>
        <w:p w:rsidR="00FF0DAA" w:rsidRDefault="0029045F">
          <w:pPr>
            <w:widowControl w:val="0"/>
            <w:tabs>
              <w:tab w:val="right" w:pos="12000"/>
            </w:tabs>
            <w:spacing w:before="60" w:line="240" w:lineRule="auto"/>
            <w:ind w:left="360"/>
            <w:rPr>
              <w:color w:val="000000"/>
            </w:rPr>
          </w:pPr>
          <w:hyperlink w:anchor="_heading=h.3l18frh">
            <w:r>
              <w:rPr>
                <w:b/>
                <w:color w:val="000000"/>
              </w:rPr>
              <w:t>12.1. Governance of the Registrar channel</w:t>
            </w:r>
            <w:r>
              <w:rPr>
                <w:b/>
                <w:color w:val="000000"/>
              </w:rPr>
              <w:tab/>
              <w:t>35</w:t>
            </w:r>
          </w:hyperlink>
        </w:p>
        <w:p w:rsidR="00FF0DAA" w:rsidRDefault="0029045F">
          <w:pPr>
            <w:widowControl w:val="0"/>
            <w:tabs>
              <w:tab w:val="right" w:pos="12000"/>
            </w:tabs>
            <w:spacing w:before="60" w:line="240" w:lineRule="auto"/>
            <w:ind w:left="360"/>
            <w:rPr>
              <w:color w:val="000000"/>
            </w:rPr>
          </w:pPr>
          <w:hyperlink w:anchor="_heading=h.206ipza">
            <w:r>
              <w:rPr>
                <w:b/>
                <w:color w:val="000000"/>
              </w:rPr>
              <w:t>12.2. Contracting with Registra</w:t>
            </w:r>
            <w:r>
              <w:rPr>
                <w:b/>
                <w:color w:val="000000"/>
              </w:rPr>
              <w:t>rs, Registrants and sub-Registrants</w:t>
            </w:r>
            <w:r>
              <w:rPr>
                <w:b/>
                <w:color w:val="000000"/>
              </w:rPr>
              <w:tab/>
              <w:t>35</w:t>
            </w:r>
          </w:hyperlink>
        </w:p>
        <w:p w:rsidR="00FF0DAA" w:rsidRDefault="0029045F">
          <w:pPr>
            <w:widowControl w:val="0"/>
            <w:tabs>
              <w:tab w:val="right" w:pos="12000"/>
            </w:tabs>
            <w:spacing w:before="60" w:line="240" w:lineRule="auto"/>
            <w:ind w:left="360"/>
            <w:rPr>
              <w:color w:val="000000"/>
            </w:rPr>
          </w:pPr>
          <w:hyperlink w:anchor="_heading=h.4k668n3">
            <w:r>
              <w:rPr>
                <w:b/>
                <w:color w:val="000000"/>
              </w:rPr>
              <w:t>12.3. On-boarding Registrars</w:t>
            </w:r>
            <w:r>
              <w:rPr>
                <w:b/>
                <w:color w:val="000000"/>
              </w:rPr>
              <w:tab/>
              <w:t>36</w:t>
            </w:r>
          </w:hyperlink>
        </w:p>
        <w:p w:rsidR="00FF0DAA" w:rsidRDefault="0029045F">
          <w:pPr>
            <w:widowControl w:val="0"/>
            <w:tabs>
              <w:tab w:val="right" w:pos="12000"/>
            </w:tabs>
            <w:spacing w:before="60" w:line="240" w:lineRule="auto"/>
            <w:ind w:left="360"/>
            <w:rPr>
              <w:color w:val="000000"/>
            </w:rPr>
          </w:pPr>
          <w:hyperlink w:anchor="_heading=h.2zbgiuw">
            <w:r>
              <w:rPr>
                <w:b/>
                <w:color w:val="000000"/>
              </w:rPr>
              <w:t>12.4. Monitoring Registrar and Registrant compliance</w:t>
            </w:r>
            <w:r>
              <w:rPr>
                <w:b/>
                <w:color w:val="000000"/>
              </w:rPr>
              <w:tab/>
              <w:t>36</w:t>
            </w:r>
          </w:hyperlink>
        </w:p>
        <w:p w:rsidR="00FF0DAA" w:rsidRDefault="0029045F">
          <w:pPr>
            <w:widowControl w:val="0"/>
            <w:tabs>
              <w:tab w:val="right" w:pos="12000"/>
            </w:tabs>
            <w:spacing w:before="60" w:line="240" w:lineRule="auto"/>
            <w:ind w:left="360"/>
            <w:rPr>
              <w:color w:val="000000"/>
            </w:rPr>
          </w:pPr>
          <w:hyperlink w:anchor="_heading=h.1egqt2p">
            <w:r>
              <w:rPr>
                <w:b/>
                <w:color w:val="000000"/>
              </w:rPr>
              <w:t xml:space="preserve">12.5. </w:t>
            </w:r>
            <w:r>
              <w:rPr>
                <w:b/>
                <w:color w:val="000000"/>
              </w:rPr>
              <w:t>Handling Registrar non-compliance</w:t>
            </w:r>
            <w:r>
              <w:rPr>
                <w:b/>
                <w:color w:val="000000"/>
              </w:rPr>
              <w:tab/>
              <w:t>37</w:t>
            </w:r>
          </w:hyperlink>
        </w:p>
        <w:p w:rsidR="00FF0DAA" w:rsidRDefault="0029045F">
          <w:pPr>
            <w:widowControl w:val="0"/>
            <w:tabs>
              <w:tab w:val="right" w:pos="12000"/>
            </w:tabs>
            <w:spacing w:before="60" w:line="240" w:lineRule="auto"/>
            <w:rPr>
              <w:b/>
              <w:color w:val="000000"/>
            </w:rPr>
          </w:pPr>
          <w:hyperlink w:anchor="_heading=h.3ygebqi">
            <w:r>
              <w:rPr>
                <w:b/>
                <w:color w:val="000000"/>
              </w:rPr>
              <w:t>13. Migrating from the incumbent supplier</w:t>
            </w:r>
            <w:r>
              <w:rPr>
                <w:b/>
                <w:color w:val="000000"/>
              </w:rPr>
              <w:tab/>
              <w:t>37</w:t>
            </w:r>
          </w:hyperlink>
        </w:p>
        <w:p w:rsidR="00FF0DAA" w:rsidRDefault="0029045F">
          <w:pPr>
            <w:widowControl w:val="0"/>
            <w:tabs>
              <w:tab w:val="right" w:pos="12000"/>
            </w:tabs>
            <w:spacing w:before="60" w:line="240" w:lineRule="auto"/>
            <w:rPr>
              <w:b/>
              <w:color w:val="000000"/>
            </w:rPr>
          </w:pPr>
          <w:hyperlink w:anchor="_heading=h.2dlolyb">
            <w:r>
              <w:rPr>
                <w:b/>
                <w:color w:val="000000"/>
              </w:rPr>
              <w:t>14. Social value</w:t>
            </w:r>
            <w:r>
              <w:rPr>
                <w:b/>
                <w:color w:val="000000"/>
              </w:rPr>
              <w:tab/>
              <w:t>38</w:t>
            </w:r>
          </w:hyperlink>
        </w:p>
        <w:p w:rsidR="00FF0DAA" w:rsidRDefault="0029045F">
          <w:pPr>
            <w:widowControl w:val="0"/>
            <w:tabs>
              <w:tab w:val="right" w:pos="12000"/>
            </w:tabs>
            <w:spacing w:before="60" w:line="240" w:lineRule="auto"/>
            <w:rPr>
              <w:b/>
              <w:color w:val="000000"/>
            </w:rPr>
          </w:pPr>
          <w:hyperlink w:anchor="_heading=h.sqyw64">
            <w:r>
              <w:rPr>
                <w:b/>
                <w:color w:val="000000"/>
              </w:rPr>
              <w:t>15. Exit plan</w:t>
            </w:r>
            <w:r>
              <w:rPr>
                <w:b/>
                <w:color w:val="000000"/>
              </w:rPr>
              <w:tab/>
              <w:t>38</w:t>
            </w:r>
          </w:hyperlink>
        </w:p>
        <w:p w:rsidR="00FF0DAA" w:rsidRDefault="0029045F">
          <w:pPr>
            <w:widowControl w:val="0"/>
            <w:tabs>
              <w:tab w:val="right" w:pos="12000"/>
            </w:tabs>
            <w:spacing w:before="60" w:line="240" w:lineRule="auto"/>
            <w:rPr>
              <w:b/>
              <w:color w:val="000000"/>
            </w:rPr>
          </w:pPr>
          <w:hyperlink w:anchor="_heading=h.3cqmetx">
            <w:r>
              <w:rPr>
                <w:b/>
                <w:color w:val="000000"/>
              </w:rPr>
              <w:t>16. Volumes</w:t>
            </w:r>
            <w:r>
              <w:rPr>
                <w:b/>
                <w:color w:val="000000"/>
              </w:rPr>
              <w:tab/>
              <w:t>38</w:t>
            </w:r>
          </w:hyperlink>
        </w:p>
        <w:p w:rsidR="00FF0DAA" w:rsidRDefault="0029045F">
          <w:pPr>
            <w:widowControl w:val="0"/>
            <w:tabs>
              <w:tab w:val="right" w:pos="12000"/>
            </w:tabs>
            <w:spacing w:before="60" w:line="240" w:lineRule="auto"/>
            <w:rPr>
              <w:b/>
              <w:color w:val="000000"/>
            </w:rPr>
          </w:pPr>
          <w:hyperlink w:anchor="_heading=h.1rvwp1q">
            <w:r>
              <w:rPr>
                <w:b/>
                <w:color w:val="000000"/>
              </w:rPr>
              <w:t>17. Contract Variations</w:t>
            </w:r>
            <w:r>
              <w:rPr>
                <w:b/>
                <w:color w:val="000000"/>
              </w:rPr>
              <w:tab/>
              <w:t>38</w:t>
            </w:r>
          </w:hyperlink>
        </w:p>
        <w:p w:rsidR="00FF0DAA" w:rsidRDefault="0029045F">
          <w:pPr>
            <w:widowControl w:val="0"/>
            <w:tabs>
              <w:tab w:val="right" w:pos="12000"/>
            </w:tabs>
            <w:spacing w:before="60" w:line="240" w:lineRule="auto"/>
            <w:rPr>
              <w:b/>
              <w:color w:val="000000"/>
            </w:rPr>
          </w:pPr>
          <w:hyperlink w:anchor="_heading=h.4bvk7pj">
            <w:r>
              <w:rPr>
                <w:b/>
                <w:color w:val="000000"/>
              </w:rPr>
              <w:t>18. Out of Scope</w:t>
            </w:r>
            <w:r>
              <w:rPr>
                <w:b/>
                <w:color w:val="000000"/>
              </w:rPr>
              <w:tab/>
              <w:t>39</w:t>
            </w:r>
          </w:hyperlink>
        </w:p>
        <w:p w:rsidR="00FF0DAA" w:rsidRDefault="0029045F">
          <w:pPr>
            <w:widowControl w:val="0"/>
            <w:tabs>
              <w:tab w:val="right" w:pos="12000"/>
            </w:tabs>
            <w:spacing w:before="60" w:line="240" w:lineRule="auto"/>
            <w:rPr>
              <w:b/>
              <w:color w:val="000000"/>
            </w:rPr>
          </w:pPr>
          <w:hyperlink w:anchor="_heading=h.2r0uhxc">
            <w:r>
              <w:rPr>
                <w:b/>
                <w:color w:val="000000"/>
              </w:rPr>
              <w:t>19. Payment and Invoicing</w:t>
            </w:r>
            <w:r>
              <w:rPr>
                <w:b/>
                <w:color w:val="000000"/>
              </w:rPr>
              <w:tab/>
              <w:t>39</w:t>
            </w:r>
          </w:hyperlink>
        </w:p>
        <w:p w:rsidR="00FF0DAA" w:rsidRDefault="0029045F">
          <w:pPr>
            <w:widowControl w:val="0"/>
            <w:tabs>
              <w:tab w:val="right" w:pos="12000"/>
            </w:tabs>
            <w:spacing w:before="60" w:line="240" w:lineRule="auto"/>
            <w:rPr>
              <w:b/>
              <w:color w:val="000000"/>
            </w:rPr>
          </w:pPr>
          <w:hyperlink w:anchor="_heading=h.1664s55">
            <w:r>
              <w:rPr>
                <w:b/>
                <w:color w:val="000000"/>
              </w:rPr>
              <w:t>20. Contract Management</w:t>
            </w:r>
            <w:r>
              <w:rPr>
                <w:b/>
                <w:color w:val="000000"/>
              </w:rPr>
              <w:tab/>
              <w:t>39</w:t>
            </w:r>
          </w:hyperlink>
        </w:p>
        <w:p w:rsidR="00FF0DAA" w:rsidRDefault="0029045F">
          <w:pPr>
            <w:widowControl w:val="0"/>
            <w:tabs>
              <w:tab w:val="right" w:pos="12000"/>
            </w:tabs>
            <w:spacing w:before="60" w:line="240" w:lineRule="auto"/>
            <w:ind w:left="720"/>
            <w:rPr>
              <w:color w:val="000000"/>
            </w:rPr>
          </w:pPr>
          <w:hyperlink w:anchor="_heading=h.3q5sasy">
            <w:r>
              <w:rPr>
                <w:b/>
                <w:color w:val="000000"/>
              </w:rPr>
              <w:t>20.1. Commercial management</w:t>
            </w:r>
            <w:r>
              <w:rPr>
                <w:b/>
                <w:color w:val="000000"/>
              </w:rPr>
              <w:tab/>
              <w:t>39</w:t>
            </w:r>
          </w:hyperlink>
        </w:p>
        <w:p w:rsidR="00FF0DAA" w:rsidRDefault="0029045F">
          <w:pPr>
            <w:widowControl w:val="0"/>
            <w:tabs>
              <w:tab w:val="right" w:pos="12000"/>
            </w:tabs>
            <w:spacing w:before="60" w:line="240" w:lineRule="auto"/>
            <w:ind w:left="720"/>
            <w:rPr>
              <w:color w:val="000000"/>
            </w:rPr>
          </w:pPr>
          <w:hyperlink w:anchor="_heading=h.25b2l0r">
            <w:r>
              <w:rPr>
                <w:b/>
                <w:color w:val="000000"/>
              </w:rPr>
              <w:t>20.2. Technical management</w:t>
            </w:r>
            <w:r>
              <w:rPr>
                <w:b/>
                <w:color w:val="000000"/>
              </w:rPr>
              <w:tab/>
              <w:t>40</w:t>
            </w:r>
          </w:hyperlink>
        </w:p>
        <w:p w:rsidR="00FF0DAA" w:rsidRDefault="0029045F">
          <w:pPr>
            <w:widowControl w:val="0"/>
            <w:tabs>
              <w:tab w:val="right" w:pos="12000"/>
            </w:tabs>
            <w:spacing w:before="60" w:line="240" w:lineRule="auto"/>
            <w:rPr>
              <w:b/>
              <w:color w:val="000000"/>
            </w:rPr>
          </w:pPr>
          <w:hyperlink w:anchor="_heading=h.kgcv8k">
            <w:r>
              <w:rPr>
                <w:b/>
                <w:color w:val="000000"/>
              </w:rPr>
              <w:t>21. Location</w:t>
            </w:r>
            <w:r>
              <w:rPr>
                <w:b/>
                <w:color w:val="000000"/>
              </w:rPr>
              <w:tab/>
              <w:t>41</w:t>
            </w:r>
          </w:hyperlink>
          <w:r>
            <w:fldChar w:fldCharType="end"/>
          </w:r>
        </w:p>
      </w:sdtContent>
    </w:sdt>
    <w:p w:rsidR="00FF0DAA" w:rsidRDefault="00FF0DAA"/>
    <w:p w:rsidR="00FF0DAA" w:rsidRDefault="0029045F">
      <w:pPr>
        <w:pStyle w:val="Heading1"/>
        <w:numPr>
          <w:ilvl w:val="0"/>
          <w:numId w:val="6"/>
        </w:numPr>
      </w:pPr>
      <w:bookmarkStart w:id="2" w:name="_heading=h.30j0zll" w:colFirst="0" w:colLast="0"/>
      <w:bookmarkEnd w:id="2"/>
      <w:r>
        <w:t>Introduction</w:t>
      </w:r>
    </w:p>
    <w:p w:rsidR="00FF0DAA" w:rsidRDefault="0029045F">
      <w:pPr>
        <w:pStyle w:val="Heading2"/>
        <w:numPr>
          <w:ilvl w:val="1"/>
          <w:numId w:val="6"/>
        </w:numPr>
      </w:pPr>
      <w:bookmarkStart w:id="3" w:name="_heading=h.1fob9te" w:colFirst="0" w:colLast="0"/>
      <w:bookmarkEnd w:id="3"/>
      <w:r>
        <w:t>Overview</w:t>
      </w:r>
    </w:p>
    <w:p w:rsidR="00FF0DAA" w:rsidRDefault="0029045F">
      <w:pPr>
        <w:numPr>
          <w:ilvl w:val="2"/>
          <w:numId w:val="6"/>
        </w:numPr>
      </w:pPr>
      <w:r>
        <w:rPr>
          <w:sz w:val="24"/>
          <w:szCs w:val="24"/>
        </w:rPr>
        <w:t xml:space="preserve">This is the requirement for a replacement authoritative registry and associated services for </w:t>
      </w:r>
      <w:proofErr w:type="gramStart"/>
      <w:r>
        <w:rPr>
          <w:sz w:val="24"/>
          <w:szCs w:val="24"/>
        </w:rPr>
        <w:t>the .</w:t>
      </w:r>
      <w:proofErr w:type="gramEnd"/>
      <w:r>
        <w:rPr>
          <w:sz w:val="24"/>
          <w:szCs w:val="24"/>
        </w:rPr>
        <w:t>gov.uk domain name, together collectively defined as the “Resilient .gov.uk Registry Services”.</w:t>
      </w:r>
    </w:p>
    <w:p w:rsidR="00FF0DAA" w:rsidRDefault="00FF0DAA">
      <w:pPr>
        <w:ind w:left="1712"/>
        <w:rPr>
          <w:sz w:val="24"/>
          <w:szCs w:val="24"/>
        </w:rPr>
      </w:pPr>
    </w:p>
    <w:p w:rsidR="00FF0DAA" w:rsidRDefault="0029045F">
      <w:pPr>
        <w:numPr>
          <w:ilvl w:val="2"/>
          <w:numId w:val="6"/>
        </w:numPr>
      </w:pPr>
      <w:r>
        <w:rPr>
          <w:sz w:val="24"/>
          <w:szCs w:val="24"/>
        </w:rPr>
        <w:t>The purpose of th</w:t>
      </w:r>
      <w:r>
        <w:rPr>
          <w:sz w:val="24"/>
          <w:szCs w:val="24"/>
        </w:rPr>
        <w:t>is requirement is to provide increased resilience and more comprehensive Registrar supply chain management.</w:t>
      </w:r>
    </w:p>
    <w:p w:rsidR="00FF0DAA" w:rsidRDefault="00FF0DAA">
      <w:pPr>
        <w:ind w:left="1712"/>
        <w:rPr>
          <w:sz w:val="24"/>
          <w:szCs w:val="24"/>
        </w:rPr>
      </w:pPr>
    </w:p>
    <w:p w:rsidR="00FF0DAA" w:rsidRDefault="0029045F">
      <w:pPr>
        <w:numPr>
          <w:ilvl w:val="2"/>
          <w:numId w:val="6"/>
        </w:numPr>
      </w:pPr>
      <w:r>
        <w:rPr>
          <w:sz w:val="24"/>
          <w:szCs w:val="24"/>
        </w:rPr>
        <w:t>The Contracting Authority and Buyer is HM GOVERNMENT CABINET OFFICE (CENTRAL DIGITAL AND DATA OFFICE).</w:t>
      </w:r>
    </w:p>
    <w:p w:rsidR="00FF0DAA" w:rsidRDefault="00FF0DAA">
      <w:pPr>
        <w:ind w:left="1712"/>
        <w:rPr>
          <w:sz w:val="24"/>
          <w:szCs w:val="24"/>
        </w:rPr>
      </w:pPr>
    </w:p>
    <w:p w:rsidR="00FF0DAA" w:rsidRDefault="0029045F">
      <w:pPr>
        <w:numPr>
          <w:ilvl w:val="2"/>
          <w:numId w:val="6"/>
        </w:numPr>
      </w:pPr>
      <w:r>
        <w:rPr>
          <w:sz w:val="24"/>
          <w:szCs w:val="24"/>
        </w:rPr>
        <w:t>The Address of the Buyer is The Whitechapel building, 10 Whitechapel High St, London E1 8QS.</w:t>
      </w:r>
    </w:p>
    <w:p w:rsidR="00FF0DAA" w:rsidRDefault="00FF0DAA">
      <w:pPr>
        <w:ind w:left="1712"/>
        <w:rPr>
          <w:sz w:val="24"/>
          <w:szCs w:val="24"/>
        </w:rPr>
      </w:pPr>
    </w:p>
    <w:p w:rsidR="00FF0DAA" w:rsidRDefault="0029045F">
      <w:pPr>
        <w:pStyle w:val="Heading2"/>
        <w:numPr>
          <w:ilvl w:val="1"/>
          <w:numId w:val="6"/>
        </w:numPr>
      </w:pPr>
      <w:bookmarkStart w:id="4" w:name="_heading=h.3znysh7" w:colFirst="0" w:colLast="0"/>
      <w:bookmarkEnd w:id="4"/>
      <w:r>
        <w:t xml:space="preserve">Evolution of the </w:t>
      </w:r>
      <w:proofErr w:type="gramStart"/>
      <w:r>
        <w:t>Resilient .</w:t>
      </w:r>
      <w:proofErr w:type="gramEnd"/>
      <w:r>
        <w:t>gov.uk Registry Services</w:t>
      </w:r>
    </w:p>
    <w:p w:rsidR="00FF0DAA" w:rsidRDefault="0029045F">
      <w:pPr>
        <w:numPr>
          <w:ilvl w:val="2"/>
          <w:numId w:val="6"/>
        </w:numPr>
        <w:rPr>
          <w:sz w:val="26"/>
          <w:szCs w:val="26"/>
        </w:rPr>
      </w:pPr>
      <w:r>
        <w:rPr>
          <w:sz w:val="24"/>
          <w:szCs w:val="24"/>
        </w:rPr>
        <w:t xml:space="preserve">The Supplier shall evolve the </w:t>
      </w:r>
      <w:proofErr w:type="gramStart"/>
      <w:r>
        <w:rPr>
          <w:sz w:val="24"/>
          <w:szCs w:val="24"/>
        </w:rPr>
        <w:t>Resilient .</w:t>
      </w:r>
      <w:proofErr w:type="gramEnd"/>
      <w:r>
        <w:rPr>
          <w:sz w:val="24"/>
          <w:szCs w:val="24"/>
        </w:rPr>
        <w:t>gov.uk Registry Services with any new features and standards that it</w:t>
      </w:r>
      <w:r>
        <w:rPr>
          <w:sz w:val="24"/>
          <w:szCs w:val="24"/>
        </w:rPr>
        <w:t xml:space="preserve"> includes in its off-the-shelf commercial offerings, so that the Critical Domain Holder benefits from the evolution of the Supplier’s standard commercial offerings.</w:t>
      </w:r>
    </w:p>
    <w:p w:rsidR="00FF0DAA" w:rsidRDefault="0029045F">
      <w:pPr>
        <w:pStyle w:val="Heading2"/>
        <w:numPr>
          <w:ilvl w:val="1"/>
          <w:numId w:val="6"/>
        </w:numPr>
      </w:pPr>
      <w:bookmarkStart w:id="5" w:name="_heading=h.2et92p0" w:colFirst="0" w:colLast="0"/>
      <w:bookmarkEnd w:id="5"/>
      <w:r>
        <w:t>Adoption of new standards</w:t>
      </w:r>
    </w:p>
    <w:p w:rsidR="00FF0DAA" w:rsidRDefault="0029045F">
      <w:pPr>
        <w:numPr>
          <w:ilvl w:val="2"/>
          <w:numId w:val="6"/>
        </w:numPr>
      </w:pPr>
      <w:r>
        <w:rPr>
          <w:sz w:val="24"/>
          <w:szCs w:val="24"/>
        </w:rPr>
        <w:t>If an RFC or other standard identified in this document is obsole</w:t>
      </w:r>
      <w:r>
        <w:rPr>
          <w:sz w:val="24"/>
          <w:szCs w:val="24"/>
        </w:rPr>
        <w:t xml:space="preserve">te or not the correct one as recognised by the industry, the Supplier shall propose an alternative RFC or other standard. </w:t>
      </w:r>
    </w:p>
    <w:p w:rsidR="00FF0DAA" w:rsidRDefault="00FF0DAA">
      <w:pPr>
        <w:ind w:left="1712"/>
        <w:rPr>
          <w:sz w:val="24"/>
          <w:szCs w:val="24"/>
        </w:rPr>
      </w:pPr>
    </w:p>
    <w:p w:rsidR="00FF0DAA" w:rsidRDefault="0029045F">
      <w:pPr>
        <w:numPr>
          <w:ilvl w:val="2"/>
          <w:numId w:val="6"/>
        </w:numPr>
      </w:pPr>
      <w:r>
        <w:rPr>
          <w:sz w:val="24"/>
          <w:szCs w:val="24"/>
        </w:rPr>
        <w:lastRenderedPageBreak/>
        <w:t xml:space="preserve">If an RFC or other standard identified in this document becomes </w:t>
      </w:r>
      <w:proofErr w:type="spellStart"/>
      <w:r>
        <w:rPr>
          <w:sz w:val="24"/>
          <w:szCs w:val="24"/>
        </w:rPr>
        <w:t>obsoleted</w:t>
      </w:r>
      <w:proofErr w:type="spellEnd"/>
      <w:r>
        <w:rPr>
          <w:sz w:val="24"/>
          <w:szCs w:val="24"/>
        </w:rPr>
        <w:t>, the Supplier shall</w:t>
      </w:r>
    </w:p>
    <w:p w:rsidR="00FF0DAA" w:rsidRDefault="00FF0DAA">
      <w:pPr>
        <w:ind w:left="1712"/>
        <w:rPr>
          <w:sz w:val="24"/>
          <w:szCs w:val="24"/>
        </w:rPr>
      </w:pPr>
    </w:p>
    <w:p w:rsidR="00FF0DAA" w:rsidRDefault="0029045F">
      <w:pPr>
        <w:numPr>
          <w:ilvl w:val="3"/>
          <w:numId w:val="6"/>
        </w:numPr>
      </w:pPr>
      <w:r>
        <w:rPr>
          <w:sz w:val="24"/>
          <w:szCs w:val="24"/>
        </w:rPr>
        <w:t xml:space="preserve">Notify the Critical Domain Holder of </w:t>
      </w:r>
      <w:r>
        <w:rPr>
          <w:sz w:val="24"/>
          <w:szCs w:val="24"/>
        </w:rPr>
        <w:t>the fact;</w:t>
      </w:r>
    </w:p>
    <w:p w:rsidR="00FF0DAA" w:rsidRDefault="00FF0DAA">
      <w:pPr>
        <w:ind w:left="2562"/>
        <w:rPr>
          <w:sz w:val="24"/>
          <w:szCs w:val="24"/>
        </w:rPr>
      </w:pPr>
    </w:p>
    <w:p w:rsidR="00FF0DAA" w:rsidRDefault="0029045F">
      <w:pPr>
        <w:numPr>
          <w:ilvl w:val="3"/>
          <w:numId w:val="6"/>
        </w:numPr>
      </w:pPr>
      <w:r>
        <w:rPr>
          <w:sz w:val="24"/>
          <w:szCs w:val="24"/>
        </w:rPr>
        <w:t xml:space="preserve">Following agreement with the Critical Domain Holder, adopt the new standard in an agreed timescale, if the implementation is commercially reasonable in the context of the overall operation of the </w:t>
      </w:r>
      <w:proofErr w:type="gramStart"/>
      <w:r>
        <w:rPr>
          <w:sz w:val="24"/>
          <w:szCs w:val="24"/>
        </w:rPr>
        <w:t>Resilient .</w:t>
      </w:r>
      <w:proofErr w:type="gramEnd"/>
      <w:r>
        <w:rPr>
          <w:sz w:val="24"/>
          <w:szCs w:val="24"/>
        </w:rPr>
        <w:t>gov.uk Registry Services.</w:t>
      </w:r>
    </w:p>
    <w:p w:rsidR="00FF0DAA" w:rsidRDefault="0029045F">
      <w:pPr>
        <w:pStyle w:val="Heading1"/>
        <w:numPr>
          <w:ilvl w:val="0"/>
          <w:numId w:val="6"/>
        </w:numPr>
      </w:pPr>
      <w:bookmarkStart w:id="6" w:name="_heading=h.tyjcwt" w:colFirst="0" w:colLast="0"/>
      <w:bookmarkEnd w:id="6"/>
      <w:r>
        <w:t xml:space="preserve">Definitions </w:t>
      </w:r>
    </w:p>
    <w:p w:rsidR="00FF0DAA" w:rsidRDefault="00FF0DAA"/>
    <w:tbl>
      <w:tblPr>
        <w:tblStyle w:val="ab"/>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600"/>
        <w:gridCol w:w="5400"/>
      </w:tblGrid>
      <w:tr w:rsidR="00FF0DAA">
        <w:tc>
          <w:tcPr>
            <w:tcW w:w="3600" w:type="dxa"/>
            <w:shd w:val="clear" w:color="auto" w:fill="auto"/>
            <w:tcMar>
              <w:top w:w="100" w:type="dxa"/>
              <w:left w:w="100" w:type="dxa"/>
              <w:bottom w:w="100" w:type="dxa"/>
              <w:right w:w="100" w:type="dxa"/>
            </w:tcMar>
          </w:tcPr>
          <w:p w:rsidR="00FF0DAA" w:rsidRDefault="0029045F">
            <w:pPr>
              <w:rPr>
                <w:rFonts w:ascii="Arial" w:eastAsia="Arial" w:hAnsi="Arial" w:cs="Arial"/>
                <w:color w:val="000000"/>
              </w:rPr>
            </w:pPr>
            <w:proofErr w:type="gramStart"/>
            <w:r>
              <w:rPr>
                <w:rFonts w:ascii="Arial" w:eastAsia="Arial" w:hAnsi="Arial" w:cs="Arial"/>
                <w:b/>
                <w:color w:val="000000"/>
                <w:sz w:val="24"/>
                <w:szCs w:val="24"/>
              </w:rPr>
              <w:t>“.gov.uk</w:t>
            </w:r>
            <w:proofErr w:type="gramEnd"/>
            <w:r>
              <w:rPr>
                <w:rFonts w:ascii="Arial" w:eastAsia="Arial" w:hAnsi="Arial" w:cs="Arial"/>
                <w:b/>
                <w:color w:val="000000"/>
                <w:sz w:val="24"/>
                <w:szCs w:val="24"/>
              </w:rPr>
              <w:t xml:space="preserve"> Approved Registrar”</w:t>
            </w:r>
            <w:r>
              <w:rPr>
                <w:rFonts w:ascii="Arial" w:eastAsia="Arial" w:hAnsi="Arial" w:cs="Arial"/>
                <w:color w:val="000000"/>
                <w:sz w:val="24"/>
                <w:szCs w:val="24"/>
              </w:rPr>
              <w:t xml:space="preserve"> </w:t>
            </w:r>
          </w:p>
        </w:tc>
        <w:tc>
          <w:tcPr>
            <w:tcW w:w="5400" w:type="dxa"/>
            <w:shd w:val="clear" w:color="auto" w:fill="auto"/>
            <w:tcMar>
              <w:top w:w="100" w:type="dxa"/>
              <w:left w:w="100" w:type="dxa"/>
              <w:bottom w:w="100" w:type="dxa"/>
              <w:right w:w="100" w:type="dxa"/>
            </w:tcMar>
          </w:tcPr>
          <w:p w:rsidR="00FF0DAA" w:rsidRDefault="0029045F">
            <w:pPr>
              <w:rPr>
                <w:rFonts w:ascii="Arial" w:eastAsia="Arial" w:hAnsi="Arial" w:cs="Arial"/>
                <w:color w:val="000000"/>
                <w:sz w:val="24"/>
                <w:szCs w:val="24"/>
              </w:rPr>
            </w:pPr>
            <w:r>
              <w:rPr>
                <w:rFonts w:ascii="Arial" w:eastAsia="Arial" w:hAnsi="Arial" w:cs="Arial"/>
                <w:color w:val="000000"/>
                <w:sz w:val="24"/>
                <w:szCs w:val="24"/>
              </w:rPr>
              <w:t xml:space="preserve">means an organisation that has been granted the right to </w:t>
            </w:r>
            <w:proofErr w:type="gramStart"/>
            <w:r>
              <w:rPr>
                <w:rFonts w:ascii="Arial" w:eastAsia="Arial" w:hAnsi="Arial" w:cs="Arial"/>
                <w:color w:val="000000"/>
                <w:sz w:val="24"/>
                <w:szCs w:val="24"/>
              </w:rPr>
              <w:t>provide .</w:t>
            </w:r>
            <w:proofErr w:type="gramEnd"/>
            <w:r>
              <w:rPr>
                <w:rFonts w:ascii="Arial" w:eastAsia="Arial" w:hAnsi="Arial" w:cs="Arial"/>
                <w:color w:val="000000"/>
                <w:sz w:val="24"/>
                <w:szCs w:val="24"/>
              </w:rPr>
              <w:t>gov.uk Registration Services.</w:t>
            </w:r>
          </w:p>
        </w:tc>
      </w:tr>
      <w:tr w:rsidR="00FF0DAA">
        <w:tc>
          <w:tcPr>
            <w:tcW w:w="3600" w:type="dxa"/>
            <w:shd w:val="clear" w:color="auto" w:fill="auto"/>
            <w:tcMar>
              <w:top w:w="100" w:type="dxa"/>
              <w:left w:w="100" w:type="dxa"/>
              <w:bottom w:w="100" w:type="dxa"/>
              <w:right w:w="100" w:type="dxa"/>
            </w:tcMar>
          </w:tcPr>
          <w:p w:rsidR="00FF0DAA" w:rsidRDefault="0029045F">
            <w:pPr>
              <w:rPr>
                <w:rFonts w:ascii="Arial" w:eastAsia="Arial" w:hAnsi="Arial" w:cs="Arial"/>
                <w:color w:val="000000"/>
              </w:rPr>
            </w:pPr>
            <w:r>
              <w:rPr>
                <w:rFonts w:ascii="Arial" w:eastAsia="Arial" w:hAnsi="Arial" w:cs="Arial"/>
                <w:b/>
                <w:color w:val="000000"/>
                <w:sz w:val="24"/>
                <w:szCs w:val="24"/>
              </w:rPr>
              <w:t>“Bulk Change”</w:t>
            </w:r>
          </w:p>
        </w:tc>
        <w:tc>
          <w:tcPr>
            <w:tcW w:w="5400" w:type="dxa"/>
            <w:shd w:val="clear" w:color="auto" w:fill="auto"/>
            <w:tcMar>
              <w:top w:w="100" w:type="dxa"/>
              <w:left w:w="100" w:type="dxa"/>
              <w:bottom w:w="100" w:type="dxa"/>
              <w:right w:w="100" w:type="dxa"/>
            </w:tcMar>
          </w:tcPr>
          <w:p w:rsidR="00FF0DAA" w:rsidRDefault="0029045F">
            <w:pPr>
              <w:rPr>
                <w:rFonts w:ascii="Arial" w:eastAsia="Arial" w:hAnsi="Arial" w:cs="Arial"/>
                <w:color w:val="000000"/>
              </w:rPr>
            </w:pPr>
            <w:r>
              <w:rPr>
                <w:rFonts w:ascii="Arial" w:eastAsia="Arial" w:hAnsi="Arial" w:cs="Arial"/>
                <w:color w:val="000000"/>
                <w:sz w:val="24"/>
                <w:szCs w:val="24"/>
              </w:rPr>
              <w:t>means a set of similar changes to the domain records of several Registrants.</w:t>
            </w:r>
          </w:p>
        </w:tc>
      </w:tr>
      <w:tr w:rsidR="00FF0DAA">
        <w:tc>
          <w:tcPr>
            <w:tcW w:w="3600" w:type="dxa"/>
            <w:shd w:val="clear" w:color="auto" w:fill="auto"/>
            <w:tcMar>
              <w:top w:w="100" w:type="dxa"/>
              <w:left w:w="100" w:type="dxa"/>
              <w:bottom w:w="100" w:type="dxa"/>
              <w:right w:w="100" w:type="dxa"/>
            </w:tcMar>
          </w:tcPr>
          <w:p w:rsidR="00FF0DAA" w:rsidRDefault="0029045F">
            <w:pPr>
              <w:rPr>
                <w:rFonts w:ascii="Arial" w:eastAsia="Arial" w:hAnsi="Arial" w:cs="Arial"/>
                <w:color w:val="000000"/>
              </w:rPr>
            </w:pPr>
            <w:r>
              <w:rPr>
                <w:rFonts w:ascii="Arial" w:eastAsia="Arial" w:hAnsi="Arial" w:cs="Arial"/>
                <w:b/>
                <w:color w:val="000000"/>
                <w:sz w:val="24"/>
                <w:szCs w:val="24"/>
              </w:rPr>
              <w:t>“Change”</w:t>
            </w:r>
          </w:p>
        </w:tc>
        <w:tc>
          <w:tcPr>
            <w:tcW w:w="5400" w:type="dxa"/>
            <w:shd w:val="clear" w:color="auto" w:fill="auto"/>
            <w:tcMar>
              <w:top w:w="100" w:type="dxa"/>
              <w:left w:w="100" w:type="dxa"/>
              <w:bottom w:w="100" w:type="dxa"/>
              <w:right w:w="100" w:type="dxa"/>
            </w:tcMar>
          </w:tcPr>
          <w:p w:rsidR="00FF0DAA" w:rsidRDefault="0029045F">
            <w:pPr>
              <w:rPr>
                <w:rFonts w:ascii="Arial" w:eastAsia="Arial" w:hAnsi="Arial" w:cs="Arial"/>
                <w:color w:val="000000"/>
              </w:rPr>
            </w:pPr>
            <w:r>
              <w:rPr>
                <w:rFonts w:ascii="Arial" w:eastAsia="Arial" w:hAnsi="Arial" w:cs="Arial"/>
                <w:color w:val="000000"/>
                <w:sz w:val="24"/>
                <w:szCs w:val="24"/>
              </w:rPr>
              <w:t>means a change to a Regist</w:t>
            </w:r>
            <w:r>
              <w:rPr>
                <w:rFonts w:ascii="Arial" w:eastAsia="Arial" w:hAnsi="Arial" w:cs="Arial"/>
                <w:color w:val="000000"/>
                <w:sz w:val="24"/>
                <w:szCs w:val="24"/>
              </w:rPr>
              <w:t>rant’s domain record following a Registrant change request.</w:t>
            </w:r>
          </w:p>
        </w:tc>
      </w:tr>
      <w:tr w:rsidR="00FF0DAA">
        <w:tc>
          <w:tcPr>
            <w:tcW w:w="3600" w:type="dxa"/>
            <w:shd w:val="clear" w:color="auto" w:fill="auto"/>
            <w:tcMar>
              <w:top w:w="100" w:type="dxa"/>
              <w:left w:w="100" w:type="dxa"/>
              <w:bottom w:w="100" w:type="dxa"/>
              <w:right w:w="100" w:type="dxa"/>
            </w:tcMar>
          </w:tcPr>
          <w:p w:rsidR="00FF0DAA" w:rsidRDefault="0029045F">
            <w:pPr>
              <w:rPr>
                <w:rFonts w:ascii="Arial" w:eastAsia="Arial" w:hAnsi="Arial" w:cs="Arial"/>
                <w:color w:val="000000"/>
              </w:rPr>
            </w:pPr>
            <w:r>
              <w:rPr>
                <w:rFonts w:ascii="Arial" w:eastAsia="Arial" w:hAnsi="Arial" w:cs="Arial"/>
                <w:b/>
                <w:color w:val="000000"/>
                <w:sz w:val="24"/>
                <w:szCs w:val="24"/>
              </w:rPr>
              <w:t>“Critical Domain”</w:t>
            </w:r>
          </w:p>
        </w:tc>
        <w:tc>
          <w:tcPr>
            <w:tcW w:w="5400" w:type="dxa"/>
            <w:shd w:val="clear" w:color="auto" w:fill="auto"/>
            <w:tcMar>
              <w:top w:w="100" w:type="dxa"/>
              <w:left w:w="100" w:type="dxa"/>
              <w:bottom w:w="100" w:type="dxa"/>
              <w:right w:w="100" w:type="dxa"/>
            </w:tcMar>
          </w:tcPr>
          <w:p w:rsidR="00FF0DAA" w:rsidRDefault="0029045F">
            <w:pPr>
              <w:rPr>
                <w:rFonts w:ascii="Arial" w:eastAsia="Arial" w:hAnsi="Arial" w:cs="Arial"/>
                <w:color w:val="000000"/>
              </w:rPr>
            </w:pPr>
            <w:r>
              <w:rPr>
                <w:rFonts w:ascii="Arial" w:eastAsia="Arial" w:hAnsi="Arial" w:cs="Arial"/>
                <w:color w:val="000000"/>
                <w:sz w:val="24"/>
                <w:szCs w:val="24"/>
              </w:rPr>
              <w:t>means the gov.uk second level domain, including its zone file.</w:t>
            </w:r>
          </w:p>
        </w:tc>
      </w:tr>
      <w:tr w:rsidR="00FF0DAA">
        <w:tc>
          <w:tcPr>
            <w:tcW w:w="3600" w:type="dxa"/>
            <w:shd w:val="clear" w:color="auto" w:fill="auto"/>
            <w:tcMar>
              <w:top w:w="100" w:type="dxa"/>
              <w:left w:w="100" w:type="dxa"/>
              <w:bottom w:w="100" w:type="dxa"/>
              <w:right w:w="100" w:type="dxa"/>
            </w:tcMar>
          </w:tcPr>
          <w:p w:rsidR="00FF0DAA" w:rsidRDefault="0029045F">
            <w:pPr>
              <w:rPr>
                <w:rFonts w:ascii="Arial" w:eastAsia="Arial" w:hAnsi="Arial" w:cs="Arial"/>
                <w:color w:val="000000"/>
              </w:rPr>
            </w:pPr>
            <w:r>
              <w:rPr>
                <w:rFonts w:ascii="Arial" w:eastAsia="Arial" w:hAnsi="Arial" w:cs="Arial"/>
                <w:b/>
                <w:color w:val="000000"/>
                <w:sz w:val="24"/>
                <w:szCs w:val="24"/>
              </w:rPr>
              <w:t>“Critical Domain Holder”</w:t>
            </w:r>
            <w:r>
              <w:rPr>
                <w:rFonts w:ascii="Arial" w:eastAsia="Arial" w:hAnsi="Arial" w:cs="Arial"/>
                <w:color w:val="000000"/>
                <w:sz w:val="24"/>
                <w:szCs w:val="24"/>
              </w:rPr>
              <w:t xml:space="preserve"> </w:t>
            </w:r>
          </w:p>
        </w:tc>
        <w:tc>
          <w:tcPr>
            <w:tcW w:w="5400" w:type="dxa"/>
            <w:shd w:val="clear" w:color="auto" w:fill="auto"/>
            <w:tcMar>
              <w:top w:w="100" w:type="dxa"/>
              <w:left w:w="100" w:type="dxa"/>
              <w:bottom w:w="100" w:type="dxa"/>
              <w:right w:w="100" w:type="dxa"/>
            </w:tcMar>
          </w:tcPr>
          <w:p w:rsidR="00FF0DAA" w:rsidRDefault="0029045F">
            <w:pPr>
              <w:rPr>
                <w:rFonts w:ascii="Arial" w:eastAsia="Arial" w:hAnsi="Arial" w:cs="Arial"/>
                <w:color w:val="000000"/>
              </w:rPr>
            </w:pPr>
            <w:r>
              <w:rPr>
                <w:rFonts w:ascii="Arial" w:eastAsia="Arial" w:hAnsi="Arial" w:cs="Arial"/>
                <w:color w:val="000000"/>
                <w:sz w:val="24"/>
                <w:szCs w:val="24"/>
              </w:rPr>
              <w:t>means the Central Digital and Data Office, or its successors, being the organisation, which on behalf of the Cabinet Office has rights over the critical domain.</w:t>
            </w:r>
          </w:p>
        </w:tc>
      </w:tr>
      <w:tr w:rsidR="00FF0DAA">
        <w:tc>
          <w:tcPr>
            <w:tcW w:w="3600" w:type="dxa"/>
            <w:shd w:val="clear" w:color="auto" w:fill="auto"/>
            <w:tcMar>
              <w:top w:w="100" w:type="dxa"/>
              <w:left w:w="100" w:type="dxa"/>
              <w:bottom w:w="100" w:type="dxa"/>
              <w:right w:w="100" w:type="dxa"/>
            </w:tcMar>
          </w:tcPr>
          <w:p w:rsidR="00FF0DAA" w:rsidRDefault="0029045F">
            <w:pPr>
              <w:rPr>
                <w:rFonts w:ascii="Arial" w:eastAsia="Arial" w:hAnsi="Arial" w:cs="Arial"/>
                <w:color w:val="000000"/>
              </w:rPr>
            </w:pPr>
            <w:r>
              <w:rPr>
                <w:rFonts w:ascii="Arial" w:eastAsia="Arial" w:hAnsi="Arial" w:cs="Arial"/>
                <w:b/>
                <w:color w:val="000000"/>
                <w:sz w:val="24"/>
                <w:szCs w:val="24"/>
              </w:rPr>
              <w:t>“Domain Monitoring and Protection Services”</w:t>
            </w:r>
          </w:p>
        </w:tc>
        <w:tc>
          <w:tcPr>
            <w:tcW w:w="5400" w:type="dxa"/>
            <w:shd w:val="clear" w:color="auto" w:fill="auto"/>
            <w:tcMar>
              <w:top w:w="100" w:type="dxa"/>
              <w:left w:w="100" w:type="dxa"/>
              <w:bottom w:w="100" w:type="dxa"/>
              <w:right w:w="100" w:type="dxa"/>
            </w:tcMar>
          </w:tcPr>
          <w:p w:rsidR="00FF0DAA" w:rsidRDefault="0029045F">
            <w:pPr>
              <w:rPr>
                <w:rFonts w:ascii="Arial" w:eastAsia="Arial" w:hAnsi="Arial" w:cs="Arial"/>
                <w:color w:val="000000"/>
              </w:rPr>
            </w:pPr>
            <w:r>
              <w:rPr>
                <w:rFonts w:ascii="Arial" w:eastAsia="Arial" w:hAnsi="Arial" w:cs="Arial"/>
                <w:color w:val="000000"/>
                <w:sz w:val="24"/>
                <w:szCs w:val="24"/>
              </w:rPr>
              <w:t>means the services provided by the Critical Domain</w:t>
            </w:r>
            <w:r>
              <w:rPr>
                <w:rFonts w:ascii="Arial" w:eastAsia="Arial" w:hAnsi="Arial" w:cs="Arial"/>
                <w:color w:val="000000"/>
                <w:sz w:val="24"/>
                <w:szCs w:val="24"/>
              </w:rPr>
              <w:t xml:space="preserve"> Holder to monitor public sector domains and help public sector bodies fix their domain vulnerabilities.</w:t>
            </w:r>
          </w:p>
        </w:tc>
      </w:tr>
      <w:tr w:rsidR="00FF0DAA">
        <w:tc>
          <w:tcPr>
            <w:tcW w:w="3600" w:type="dxa"/>
            <w:shd w:val="clear" w:color="auto" w:fill="auto"/>
            <w:tcMar>
              <w:top w:w="100" w:type="dxa"/>
              <w:left w:w="100" w:type="dxa"/>
              <w:bottom w:w="100" w:type="dxa"/>
              <w:right w:w="100" w:type="dxa"/>
            </w:tcMar>
          </w:tcPr>
          <w:p w:rsidR="00FF0DAA" w:rsidRDefault="0029045F">
            <w:pPr>
              <w:rPr>
                <w:rFonts w:ascii="Arial" w:eastAsia="Arial" w:hAnsi="Arial" w:cs="Arial"/>
                <w:color w:val="000000"/>
              </w:rPr>
            </w:pPr>
            <w:r>
              <w:rPr>
                <w:rFonts w:ascii="Arial" w:eastAsia="Arial" w:hAnsi="Arial" w:cs="Arial"/>
                <w:b/>
                <w:color w:val="000000"/>
                <w:sz w:val="24"/>
                <w:szCs w:val="24"/>
              </w:rPr>
              <w:t>“Domain Name System”</w:t>
            </w:r>
            <w:r>
              <w:rPr>
                <w:rFonts w:ascii="Arial" w:eastAsia="Arial" w:hAnsi="Arial" w:cs="Arial"/>
                <w:color w:val="000000"/>
                <w:sz w:val="24"/>
                <w:szCs w:val="24"/>
              </w:rPr>
              <w:t xml:space="preserve"> or </w:t>
            </w:r>
            <w:r>
              <w:rPr>
                <w:rFonts w:ascii="Arial" w:eastAsia="Arial" w:hAnsi="Arial" w:cs="Arial"/>
                <w:b/>
                <w:color w:val="000000"/>
                <w:sz w:val="24"/>
                <w:szCs w:val="24"/>
              </w:rPr>
              <w:t>“DNS”</w:t>
            </w:r>
            <w:r>
              <w:rPr>
                <w:rFonts w:ascii="Arial" w:eastAsia="Arial" w:hAnsi="Arial" w:cs="Arial"/>
                <w:color w:val="000000"/>
                <w:sz w:val="24"/>
                <w:szCs w:val="24"/>
              </w:rPr>
              <w:t xml:space="preserve"> </w:t>
            </w:r>
          </w:p>
        </w:tc>
        <w:tc>
          <w:tcPr>
            <w:tcW w:w="5400" w:type="dxa"/>
            <w:shd w:val="clear" w:color="auto" w:fill="auto"/>
            <w:tcMar>
              <w:top w:w="100" w:type="dxa"/>
              <w:left w:w="100" w:type="dxa"/>
              <w:bottom w:w="100" w:type="dxa"/>
              <w:right w:w="100" w:type="dxa"/>
            </w:tcMar>
          </w:tcPr>
          <w:p w:rsidR="00FF0DAA" w:rsidRDefault="0029045F">
            <w:pPr>
              <w:rPr>
                <w:rFonts w:ascii="Arial" w:eastAsia="Arial" w:hAnsi="Arial" w:cs="Arial"/>
                <w:color w:val="000000"/>
              </w:rPr>
            </w:pPr>
            <w:r>
              <w:rPr>
                <w:rFonts w:ascii="Arial" w:eastAsia="Arial" w:hAnsi="Arial" w:cs="Arial"/>
                <w:color w:val="000000"/>
                <w:sz w:val="24"/>
                <w:szCs w:val="24"/>
              </w:rPr>
              <w:t xml:space="preserve">Refers to the Domain Name System as specified in RFCs 1034, 1035, and related </w:t>
            </w:r>
            <w:proofErr w:type="spellStart"/>
            <w:r>
              <w:rPr>
                <w:rFonts w:ascii="Arial" w:eastAsia="Arial" w:hAnsi="Arial" w:cs="Arial"/>
                <w:color w:val="000000"/>
                <w:sz w:val="24"/>
                <w:szCs w:val="24"/>
              </w:rPr>
              <w:t>RFCs.Refers</w:t>
            </w:r>
            <w:proofErr w:type="spellEnd"/>
            <w:r>
              <w:rPr>
                <w:rFonts w:ascii="Arial" w:eastAsia="Arial" w:hAnsi="Arial" w:cs="Arial"/>
                <w:color w:val="000000"/>
                <w:sz w:val="24"/>
                <w:szCs w:val="24"/>
              </w:rPr>
              <w:t xml:space="preserve"> to </w:t>
            </w:r>
            <w:r>
              <w:rPr>
                <w:rFonts w:ascii="Arial" w:eastAsia="Arial" w:hAnsi="Arial" w:cs="Arial"/>
                <w:color w:val="000000"/>
                <w:sz w:val="24"/>
                <w:szCs w:val="24"/>
              </w:rPr>
              <w:lastRenderedPageBreak/>
              <w:t>the Domain Name System as specified in RFCs 1034, 1035, and related RFCs.</w:t>
            </w:r>
          </w:p>
        </w:tc>
      </w:tr>
      <w:tr w:rsidR="00FF0DAA">
        <w:tc>
          <w:tcPr>
            <w:tcW w:w="3600" w:type="dxa"/>
            <w:shd w:val="clear" w:color="auto" w:fill="auto"/>
            <w:tcMar>
              <w:top w:w="100" w:type="dxa"/>
              <w:left w:w="100" w:type="dxa"/>
              <w:bottom w:w="100" w:type="dxa"/>
              <w:right w:w="100" w:type="dxa"/>
            </w:tcMar>
          </w:tcPr>
          <w:p w:rsidR="00FF0DAA" w:rsidRDefault="0029045F">
            <w:pPr>
              <w:rPr>
                <w:rFonts w:ascii="Arial" w:eastAsia="Arial" w:hAnsi="Arial" w:cs="Arial"/>
                <w:color w:val="000000"/>
              </w:rPr>
            </w:pPr>
            <w:r>
              <w:rPr>
                <w:rFonts w:ascii="Arial" w:eastAsia="Arial" w:hAnsi="Arial" w:cs="Arial"/>
                <w:color w:val="000000"/>
                <w:sz w:val="24"/>
                <w:szCs w:val="24"/>
              </w:rPr>
              <w:lastRenderedPageBreak/>
              <w:t>“</w:t>
            </w:r>
            <w:r>
              <w:rPr>
                <w:rFonts w:ascii="Arial" w:eastAsia="Arial" w:hAnsi="Arial" w:cs="Arial"/>
                <w:b/>
                <w:color w:val="000000"/>
                <w:sz w:val="24"/>
                <w:szCs w:val="24"/>
              </w:rPr>
              <w:t>Domain Name Registration and Management Rules</w:t>
            </w:r>
            <w:r>
              <w:rPr>
                <w:rFonts w:ascii="Arial" w:eastAsia="Arial" w:hAnsi="Arial" w:cs="Arial"/>
                <w:color w:val="000000"/>
                <w:sz w:val="24"/>
                <w:szCs w:val="24"/>
              </w:rPr>
              <w:t xml:space="preserve">” </w:t>
            </w:r>
          </w:p>
        </w:tc>
        <w:tc>
          <w:tcPr>
            <w:tcW w:w="5400" w:type="dxa"/>
            <w:shd w:val="clear" w:color="auto" w:fill="auto"/>
            <w:tcMar>
              <w:top w:w="100" w:type="dxa"/>
              <w:left w:w="100" w:type="dxa"/>
              <w:bottom w:w="100" w:type="dxa"/>
              <w:right w:w="100" w:type="dxa"/>
            </w:tcMar>
          </w:tcPr>
          <w:p w:rsidR="00FF0DAA" w:rsidRDefault="0029045F">
            <w:pPr>
              <w:rPr>
                <w:rFonts w:ascii="Arial" w:eastAsia="Arial" w:hAnsi="Arial" w:cs="Arial"/>
                <w:color w:val="000000"/>
                <w:sz w:val="24"/>
                <w:szCs w:val="24"/>
                <w:u w:val="single"/>
              </w:rPr>
            </w:pPr>
            <w:r>
              <w:rPr>
                <w:rFonts w:ascii="Arial" w:eastAsia="Arial" w:hAnsi="Arial" w:cs="Arial"/>
                <w:color w:val="000000"/>
                <w:sz w:val="24"/>
                <w:szCs w:val="24"/>
              </w:rPr>
              <w:t xml:space="preserve">means the following pages on GOV.UK: </w:t>
            </w:r>
            <w:r>
              <w:rPr>
                <w:rFonts w:ascii="Arial" w:eastAsia="Arial" w:hAnsi="Arial" w:cs="Arial"/>
                <w:color w:val="000000"/>
                <w:sz w:val="24"/>
                <w:szCs w:val="24"/>
              </w:rPr>
              <w:br/>
            </w:r>
          </w:p>
          <w:p w:rsidR="00FF0DAA" w:rsidRDefault="0029045F">
            <w:pPr>
              <w:numPr>
                <w:ilvl w:val="0"/>
                <w:numId w:val="1"/>
              </w:numPr>
              <w:rPr>
                <w:rFonts w:ascii="Arial" w:eastAsia="Arial" w:hAnsi="Arial" w:cs="Arial"/>
                <w:color w:val="000000"/>
                <w:sz w:val="24"/>
                <w:szCs w:val="24"/>
              </w:rPr>
            </w:pPr>
            <w:hyperlink r:id="rId10" w:anchor="content">
              <w:r>
                <w:rPr>
                  <w:rFonts w:ascii="Arial" w:eastAsia="Arial" w:hAnsi="Arial" w:cs="Arial"/>
                  <w:color w:val="000000"/>
                  <w:sz w:val="24"/>
                  <w:szCs w:val="24"/>
                  <w:u w:val="single"/>
                </w:rPr>
                <w:t xml:space="preserve">Get permission to apply for </w:t>
              </w:r>
              <w:proofErr w:type="gramStart"/>
              <w:r>
                <w:rPr>
                  <w:rFonts w:ascii="Arial" w:eastAsia="Arial" w:hAnsi="Arial" w:cs="Arial"/>
                  <w:color w:val="000000"/>
                  <w:sz w:val="24"/>
                  <w:szCs w:val="24"/>
                  <w:u w:val="single"/>
                </w:rPr>
                <w:t>a .</w:t>
              </w:r>
              <w:proofErr w:type="gramEnd"/>
              <w:r>
                <w:rPr>
                  <w:rFonts w:ascii="Arial" w:eastAsia="Arial" w:hAnsi="Arial" w:cs="Arial"/>
                  <w:color w:val="000000"/>
                  <w:sz w:val="24"/>
                  <w:szCs w:val="24"/>
                  <w:u w:val="single"/>
                </w:rPr>
                <w:t>gov.uk domain name</w:t>
              </w:r>
            </w:hyperlink>
            <w:r>
              <w:rPr>
                <w:rFonts w:ascii="Arial" w:eastAsia="Arial" w:hAnsi="Arial" w:cs="Arial"/>
                <w:color w:val="000000"/>
                <w:sz w:val="24"/>
                <w:szCs w:val="24"/>
                <w:u w:val="single"/>
              </w:rPr>
              <w:t xml:space="preserve"> </w:t>
            </w:r>
          </w:p>
          <w:p w:rsidR="00FF0DAA" w:rsidRDefault="0029045F">
            <w:pPr>
              <w:numPr>
                <w:ilvl w:val="0"/>
                <w:numId w:val="1"/>
              </w:numPr>
              <w:rPr>
                <w:rFonts w:ascii="Arial" w:eastAsia="Arial" w:hAnsi="Arial" w:cs="Arial"/>
                <w:color w:val="000000"/>
                <w:sz w:val="24"/>
                <w:szCs w:val="24"/>
              </w:rPr>
            </w:pPr>
            <w:hyperlink r:id="rId11">
              <w:r>
                <w:rPr>
                  <w:rFonts w:ascii="Arial" w:eastAsia="Arial" w:hAnsi="Arial" w:cs="Arial"/>
                  <w:color w:val="000000"/>
                  <w:sz w:val="24"/>
                  <w:szCs w:val="24"/>
                  <w:u w:val="single"/>
                </w:rPr>
                <w:t>Identify a domain name administrator</w:t>
              </w:r>
            </w:hyperlink>
            <w:r>
              <w:rPr>
                <w:rFonts w:ascii="Arial" w:eastAsia="Arial" w:hAnsi="Arial" w:cs="Arial"/>
                <w:color w:val="000000"/>
                <w:sz w:val="24"/>
                <w:szCs w:val="24"/>
                <w:u w:val="single"/>
              </w:rPr>
              <w:t xml:space="preserve"> </w:t>
            </w:r>
          </w:p>
          <w:p w:rsidR="00FF0DAA" w:rsidRDefault="0029045F">
            <w:pPr>
              <w:numPr>
                <w:ilvl w:val="0"/>
                <w:numId w:val="1"/>
              </w:numPr>
              <w:rPr>
                <w:rFonts w:ascii="Arial" w:eastAsia="Arial" w:hAnsi="Arial" w:cs="Arial"/>
                <w:color w:val="000000"/>
                <w:sz w:val="24"/>
                <w:szCs w:val="24"/>
              </w:rPr>
            </w:pPr>
            <w:hyperlink r:id="rId12">
              <w:r>
                <w:rPr>
                  <w:rFonts w:ascii="Arial" w:eastAsia="Arial" w:hAnsi="Arial" w:cs="Arial"/>
                  <w:color w:val="000000"/>
                  <w:sz w:val="24"/>
                  <w:szCs w:val="24"/>
                  <w:u w:val="single"/>
                </w:rPr>
                <w:t xml:space="preserve">Choose an </w:t>
              </w:r>
              <w:proofErr w:type="gramStart"/>
              <w:r>
                <w:rPr>
                  <w:rFonts w:ascii="Arial" w:eastAsia="Arial" w:hAnsi="Arial" w:cs="Arial"/>
                  <w:color w:val="000000"/>
                  <w:sz w:val="24"/>
                  <w:szCs w:val="24"/>
                  <w:u w:val="single"/>
                </w:rPr>
                <w:t>appropriate .</w:t>
              </w:r>
              <w:proofErr w:type="gramEnd"/>
              <w:r>
                <w:rPr>
                  <w:rFonts w:ascii="Arial" w:eastAsia="Arial" w:hAnsi="Arial" w:cs="Arial"/>
                  <w:color w:val="000000"/>
                  <w:sz w:val="24"/>
                  <w:szCs w:val="24"/>
                  <w:u w:val="single"/>
                </w:rPr>
                <w:t>gov.uk domain name</w:t>
              </w:r>
            </w:hyperlink>
            <w:r>
              <w:rPr>
                <w:rFonts w:ascii="Arial" w:eastAsia="Arial" w:hAnsi="Arial" w:cs="Arial"/>
                <w:color w:val="000000"/>
                <w:sz w:val="24"/>
                <w:szCs w:val="24"/>
                <w:u w:val="single"/>
              </w:rPr>
              <w:t xml:space="preserve"> </w:t>
            </w:r>
          </w:p>
          <w:p w:rsidR="00FF0DAA" w:rsidRDefault="0029045F">
            <w:pPr>
              <w:numPr>
                <w:ilvl w:val="0"/>
                <w:numId w:val="1"/>
              </w:numPr>
              <w:rPr>
                <w:rFonts w:ascii="Arial" w:eastAsia="Arial" w:hAnsi="Arial" w:cs="Arial"/>
                <w:color w:val="000000"/>
                <w:sz w:val="24"/>
                <w:szCs w:val="24"/>
              </w:rPr>
            </w:pPr>
            <w:hyperlink r:id="rId13">
              <w:r>
                <w:rPr>
                  <w:rFonts w:ascii="Arial" w:eastAsia="Arial" w:hAnsi="Arial" w:cs="Arial"/>
                  <w:color w:val="000000"/>
                  <w:sz w:val="24"/>
                  <w:szCs w:val="24"/>
                  <w:u w:val="single"/>
                </w:rPr>
                <w:t xml:space="preserve">Get started with </w:t>
              </w:r>
              <w:proofErr w:type="gramStart"/>
              <w:r>
                <w:rPr>
                  <w:rFonts w:ascii="Arial" w:eastAsia="Arial" w:hAnsi="Arial" w:cs="Arial"/>
                  <w:color w:val="000000"/>
                  <w:sz w:val="24"/>
                  <w:szCs w:val="24"/>
                  <w:u w:val="single"/>
                </w:rPr>
                <w:t>your .</w:t>
              </w:r>
              <w:proofErr w:type="gramEnd"/>
              <w:r>
                <w:rPr>
                  <w:rFonts w:ascii="Arial" w:eastAsia="Arial" w:hAnsi="Arial" w:cs="Arial"/>
                  <w:color w:val="000000"/>
                  <w:sz w:val="24"/>
                  <w:szCs w:val="24"/>
                  <w:u w:val="single"/>
                </w:rPr>
                <w:t>gov.uk domain name</w:t>
              </w:r>
            </w:hyperlink>
          </w:p>
          <w:p w:rsidR="00FF0DAA" w:rsidRDefault="0029045F">
            <w:pPr>
              <w:numPr>
                <w:ilvl w:val="0"/>
                <w:numId w:val="1"/>
              </w:numPr>
              <w:rPr>
                <w:rFonts w:ascii="Arial" w:eastAsia="Arial" w:hAnsi="Arial" w:cs="Arial"/>
                <w:color w:val="000000"/>
                <w:sz w:val="24"/>
                <w:szCs w:val="24"/>
              </w:rPr>
            </w:pPr>
            <w:hyperlink r:id="rId14">
              <w:r>
                <w:rPr>
                  <w:rFonts w:ascii="Arial" w:eastAsia="Arial" w:hAnsi="Arial" w:cs="Arial"/>
                  <w:color w:val="000000"/>
                  <w:sz w:val="24"/>
                  <w:szCs w:val="24"/>
                  <w:u w:val="single"/>
                </w:rPr>
                <w:t xml:space="preserve">How you are accountable for protecting </w:t>
              </w:r>
              <w:proofErr w:type="gramStart"/>
              <w:r>
                <w:rPr>
                  <w:rFonts w:ascii="Arial" w:eastAsia="Arial" w:hAnsi="Arial" w:cs="Arial"/>
                  <w:color w:val="000000"/>
                  <w:sz w:val="24"/>
                  <w:szCs w:val="24"/>
                  <w:u w:val="single"/>
                </w:rPr>
                <w:t>your .</w:t>
              </w:r>
              <w:proofErr w:type="gramEnd"/>
              <w:r>
                <w:rPr>
                  <w:rFonts w:ascii="Arial" w:eastAsia="Arial" w:hAnsi="Arial" w:cs="Arial"/>
                  <w:color w:val="000000"/>
                  <w:sz w:val="24"/>
                  <w:szCs w:val="24"/>
                  <w:u w:val="single"/>
                </w:rPr>
                <w:t>gov.uk domain</w:t>
              </w:r>
            </w:hyperlink>
          </w:p>
          <w:p w:rsidR="00FF0DAA" w:rsidRDefault="0029045F">
            <w:pPr>
              <w:numPr>
                <w:ilvl w:val="0"/>
                <w:numId w:val="1"/>
              </w:numPr>
              <w:rPr>
                <w:rFonts w:ascii="Arial" w:eastAsia="Arial" w:hAnsi="Arial" w:cs="Arial"/>
                <w:color w:val="000000"/>
                <w:sz w:val="24"/>
                <w:szCs w:val="24"/>
              </w:rPr>
            </w:pPr>
            <w:hyperlink r:id="rId15">
              <w:r>
                <w:rPr>
                  <w:rFonts w:ascii="Arial" w:eastAsia="Arial" w:hAnsi="Arial" w:cs="Arial"/>
                  <w:color w:val="000000"/>
                  <w:sz w:val="24"/>
                  <w:szCs w:val="24"/>
                  <w:u w:val="single"/>
                </w:rPr>
                <w:t xml:space="preserve">Creating and </w:t>
              </w:r>
              <w:proofErr w:type="gramStart"/>
              <w:r>
                <w:rPr>
                  <w:rFonts w:ascii="Arial" w:eastAsia="Arial" w:hAnsi="Arial" w:cs="Arial"/>
                  <w:color w:val="000000"/>
                  <w:sz w:val="24"/>
                  <w:szCs w:val="24"/>
                  <w:u w:val="single"/>
                </w:rPr>
                <w:t>managing .</w:t>
              </w:r>
              <w:proofErr w:type="gramEnd"/>
              <w:r>
                <w:rPr>
                  <w:rFonts w:ascii="Arial" w:eastAsia="Arial" w:hAnsi="Arial" w:cs="Arial"/>
                  <w:color w:val="000000"/>
                  <w:sz w:val="24"/>
                  <w:szCs w:val="24"/>
                  <w:u w:val="single"/>
                </w:rPr>
                <w:t>gov.uk subdomains</w:t>
              </w:r>
            </w:hyperlink>
          </w:p>
          <w:p w:rsidR="00FF0DAA" w:rsidRDefault="0029045F">
            <w:pPr>
              <w:numPr>
                <w:ilvl w:val="0"/>
                <w:numId w:val="1"/>
              </w:numPr>
              <w:rPr>
                <w:rFonts w:ascii="Arial" w:eastAsia="Arial" w:hAnsi="Arial" w:cs="Arial"/>
                <w:color w:val="000000"/>
                <w:sz w:val="24"/>
                <w:szCs w:val="24"/>
              </w:rPr>
            </w:pPr>
            <w:hyperlink r:id="rId16">
              <w:r>
                <w:rPr>
                  <w:rFonts w:ascii="Arial" w:eastAsia="Arial" w:hAnsi="Arial" w:cs="Arial"/>
                  <w:color w:val="000000"/>
                  <w:sz w:val="24"/>
                  <w:szCs w:val="24"/>
                  <w:u w:val="single"/>
                </w:rPr>
                <w:t>Keep your domain name secure</w:t>
              </w:r>
            </w:hyperlink>
          </w:p>
          <w:p w:rsidR="00FF0DAA" w:rsidRDefault="0029045F">
            <w:pPr>
              <w:numPr>
                <w:ilvl w:val="0"/>
                <w:numId w:val="1"/>
              </w:numPr>
              <w:rPr>
                <w:rFonts w:ascii="Arial" w:eastAsia="Arial" w:hAnsi="Arial" w:cs="Arial"/>
                <w:color w:val="000000"/>
                <w:sz w:val="24"/>
                <w:szCs w:val="24"/>
              </w:rPr>
            </w:pPr>
            <w:hyperlink r:id="rId17" w:anchor="renew-domains-on-time">
              <w:r>
                <w:rPr>
                  <w:rFonts w:ascii="Arial" w:eastAsia="Arial" w:hAnsi="Arial" w:cs="Arial"/>
                  <w:color w:val="000000"/>
                  <w:sz w:val="24"/>
                  <w:szCs w:val="24"/>
                  <w:u w:val="single"/>
                </w:rPr>
                <w:t>Renew your domain name</w:t>
              </w:r>
            </w:hyperlink>
          </w:p>
          <w:p w:rsidR="00FF0DAA" w:rsidRDefault="0029045F">
            <w:pPr>
              <w:numPr>
                <w:ilvl w:val="0"/>
                <w:numId w:val="1"/>
              </w:numPr>
              <w:rPr>
                <w:rFonts w:ascii="Arial" w:eastAsia="Arial" w:hAnsi="Arial" w:cs="Arial"/>
                <w:color w:val="000000"/>
                <w:sz w:val="24"/>
                <w:szCs w:val="24"/>
              </w:rPr>
            </w:pPr>
            <w:hyperlink r:id="rId18">
              <w:r>
                <w:rPr>
                  <w:rFonts w:ascii="Arial" w:eastAsia="Arial" w:hAnsi="Arial" w:cs="Arial"/>
                  <w:color w:val="000000"/>
                  <w:sz w:val="24"/>
                  <w:szCs w:val="24"/>
                  <w:u w:val="single"/>
                </w:rPr>
                <w:t>Modify or transfer your domain name</w:t>
              </w:r>
            </w:hyperlink>
          </w:p>
          <w:p w:rsidR="00FF0DAA" w:rsidRDefault="0029045F">
            <w:pPr>
              <w:numPr>
                <w:ilvl w:val="0"/>
                <w:numId w:val="1"/>
              </w:numPr>
              <w:rPr>
                <w:rFonts w:ascii="Arial" w:eastAsia="Arial" w:hAnsi="Arial" w:cs="Arial"/>
                <w:color w:val="000000"/>
                <w:sz w:val="24"/>
                <w:szCs w:val="24"/>
              </w:rPr>
            </w:pPr>
            <w:hyperlink r:id="rId19">
              <w:r>
                <w:rPr>
                  <w:rFonts w:ascii="Arial" w:eastAsia="Arial" w:hAnsi="Arial" w:cs="Arial"/>
                  <w:color w:val="000000"/>
                  <w:sz w:val="24"/>
                  <w:szCs w:val="24"/>
                  <w:u w:val="single"/>
                </w:rPr>
                <w:t>Stop using your domain name</w:t>
              </w:r>
            </w:hyperlink>
          </w:p>
          <w:p w:rsidR="00FF0DAA" w:rsidRDefault="0029045F">
            <w:pPr>
              <w:numPr>
                <w:ilvl w:val="0"/>
                <w:numId w:val="1"/>
              </w:numPr>
              <w:spacing w:after="240"/>
              <w:rPr>
                <w:rFonts w:ascii="Arial" w:eastAsia="Arial" w:hAnsi="Arial" w:cs="Arial"/>
                <w:color w:val="000000"/>
                <w:sz w:val="24"/>
                <w:szCs w:val="24"/>
              </w:rPr>
            </w:pPr>
            <w:hyperlink r:id="rId20">
              <w:r>
                <w:rPr>
                  <w:rFonts w:ascii="Arial" w:eastAsia="Arial" w:hAnsi="Arial" w:cs="Arial"/>
                  <w:color w:val="000000"/>
                  <w:sz w:val="24"/>
                  <w:szCs w:val="24"/>
                  <w:u w:val="single"/>
                </w:rPr>
                <w:t>What to do if your do</w:t>
              </w:r>
              <w:r>
                <w:rPr>
                  <w:rFonts w:ascii="Arial" w:eastAsia="Arial" w:hAnsi="Arial" w:cs="Arial"/>
                  <w:color w:val="000000"/>
                  <w:sz w:val="24"/>
                  <w:szCs w:val="24"/>
                  <w:u w:val="single"/>
                </w:rPr>
                <w:t>main is compromised</w:t>
              </w:r>
            </w:hyperlink>
          </w:p>
        </w:tc>
      </w:tr>
      <w:tr w:rsidR="00FF0DAA">
        <w:tc>
          <w:tcPr>
            <w:tcW w:w="3600" w:type="dxa"/>
            <w:shd w:val="clear" w:color="auto" w:fill="auto"/>
            <w:tcMar>
              <w:top w:w="100" w:type="dxa"/>
              <w:left w:w="100" w:type="dxa"/>
              <w:bottom w:w="100" w:type="dxa"/>
              <w:right w:w="100" w:type="dxa"/>
            </w:tcMar>
          </w:tcPr>
          <w:p w:rsidR="00FF0DAA" w:rsidRDefault="0029045F">
            <w:pPr>
              <w:rPr>
                <w:rFonts w:ascii="Arial" w:eastAsia="Arial" w:hAnsi="Arial" w:cs="Arial"/>
                <w:color w:val="000000"/>
              </w:rPr>
            </w:pPr>
            <w:r>
              <w:rPr>
                <w:rFonts w:ascii="Arial" w:eastAsia="Arial" w:hAnsi="Arial" w:cs="Arial"/>
                <w:b/>
                <w:color w:val="000000"/>
                <w:sz w:val="24"/>
                <w:szCs w:val="24"/>
              </w:rPr>
              <w:t>“Emergency Change”</w:t>
            </w:r>
          </w:p>
        </w:tc>
        <w:tc>
          <w:tcPr>
            <w:tcW w:w="5400" w:type="dxa"/>
            <w:shd w:val="clear" w:color="auto" w:fill="auto"/>
            <w:tcMar>
              <w:top w:w="100" w:type="dxa"/>
              <w:left w:w="100" w:type="dxa"/>
              <w:bottom w:w="100" w:type="dxa"/>
              <w:right w:w="100" w:type="dxa"/>
            </w:tcMar>
          </w:tcPr>
          <w:p w:rsidR="00FF0DAA" w:rsidRDefault="0029045F">
            <w:pPr>
              <w:rPr>
                <w:rFonts w:ascii="Arial" w:eastAsia="Arial" w:hAnsi="Arial" w:cs="Arial"/>
                <w:color w:val="000000"/>
              </w:rPr>
            </w:pPr>
            <w:r>
              <w:rPr>
                <w:rFonts w:ascii="Arial" w:eastAsia="Arial" w:hAnsi="Arial" w:cs="Arial"/>
                <w:color w:val="000000"/>
                <w:sz w:val="24"/>
                <w:szCs w:val="24"/>
              </w:rPr>
              <w:t>means a change that is required urgently to re-establish, or prevent loss of, DNS or DNSSEC proper resolution for the delegated zone.</w:t>
            </w:r>
          </w:p>
        </w:tc>
      </w:tr>
      <w:tr w:rsidR="00FF0DAA">
        <w:tc>
          <w:tcPr>
            <w:tcW w:w="3600" w:type="dxa"/>
            <w:shd w:val="clear" w:color="auto" w:fill="auto"/>
            <w:tcMar>
              <w:top w:w="100" w:type="dxa"/>
              <w:left w:w="100" w:type="dxa"/>
              <w:bottom w:w="100" w:type="dxa"/>
              <w:right w:w="100" w:type="dxa"/>
            </w:tcMar>
          </w:tcPr>
          <w:p w:rsidR="00FF0DAA" w:rsidRDefault="0029045F">
            <w:pPr>
              <w:rPr>
                <w:rFonts w:ascii="Arial" w:eastAsia="Arial" w:hAnsi="Arial" w:cs="Arial"/>
                <w:color w:val="000000"/>
              </w:rPr>
            </w:pPr>
            <w:r>
              <w:rPr>
                <w:rFonts w:ascii="Arial" w:eastAsia="Arial" w:hAnsi="Arial" w:cs="Arial"/>
                <w:b/>
                <w:color w:val="000000"/>
                <w:sz w:val="24"/>
                <w:szCs w:val="24"/>
              </w:rPr>
              <w:t>“Emergency Incident”</w:t>
            </w:r>
          </w:p>
        </w:tc>
        <w:tc>
          <w:tcPr>
            <w:tcW w:w="5400" w:type="dxa"/>
            <w:shd w:val="clear" w:color="auto" w:fill="auto"/>
            <w:tcMar>
              <w:top w:w="100" w:type="dxa"/>
              <w:left w:w="100" w:type="dxa"/>
              <w:bottom w:w="100" w:type="dxa"/>
              <w:right w:w="100" w:type="dxa"/>
            </w:tcMar>
          </w:tcPr>
          <w:p w:rsidR="00FF0DAA" w:rsidRDefault="0029045F">
            <w:pPr>
              <w:rPr>
                <w:rFonts w:ascii="Arial" w:eastAsia="Arial" w:hAnsi="Arial" w:cs="Arial"/>
                <w:color w:val="000000"/>
              </w:rPr>
            </w:pPr>
            <w:r>
              <w:rPr>
                <w:rFonts w:ascii="Arial" w:eastAsia="Arial" w:hAnsi="Arial" w:cs="Arial"/>
                <w:color w:val="000000"/>
                <w:sz w:val="24"/>
                <w:szCs w:val="24"/>
              </w:rPr>
              <w:t>means the incident type to be raised in the event of the fai</w:t>
            </w:r>
            <w:r>
              <w:rPr>
                <w:rFonts w:ascii="Arial" w:eastAsia="Arial" w:hAnsi="Arial" w:cs="Arial"/>
                <w:color w:val="000000"/>
                <w:sz w:val="24"/>
                <w:szCs w:val="24"/>
              </w:rPr>
              <w:t>lure or imminent likely failure of DNS or DNSSEC proper resolution for the delegated zone.</w:t>
            </w:r>
          </w:p>
        </w:tc>
      </w:tr>
      <w:tr w:rsidR="00FF0DAA">
        <w:tc>
          <w:tcPr>
            <w:tcW w:w="3600" w:type="dxa"/>
            <w:shd w:val="clear" w:color="auto" w:fill="auto"/>
            <w:tcMar>
              <w:top w:w="100" w:type="dxa"/>
              <w:left w:w="100" w:type="dxa"/>
              <w:bottom w:w="100" w:type="dxa"/>
              <w:right w:w="100" w:type="dxa"/>
            </w:tcMar>
          </w:tcPr>
          <w:p w:rsidR="00FF0DAA" w:rsidRDefault="0029045F">
            <w:pPr>
              <w:rPr>
                <w:rFonts w:ascii="Arial" w:eastAsia="Arial" w:hAnsi="Arial" w:cs="Arial"/>
                <w:color w:val="000000"/>
              </w:rPr>
            </w:pPr>
            <w:r>
              <w:rPr>
                <w:rFonts w:ascii="Arial" w:eastAsia="Arial" w:hAnsi="Arial" w:cs="Arial"/>
                <w:b/>
                <w:color w:val="000000"/>
                <w:sz w:val="24"/>
                <w:szCs w:val="24"/>
              </w:rPr>
              <w:t>“Extended Business Hours”</w:t>
            </w:r>
            <w:r>
              <w:rPr>
                <w:rFonts w:ascii="Arial" w:eastAsia="Arial" w:hAnsi="Arial" w:cs="Arial"/>
                <w:color w:val="000000"/>
                <w:sz w:val="24"/>
                <w:szCs w:val="24"/>
              </w:rPr>
              <w:t xml:space="preserve"> </w:t>
            </w:r>
          </w:p>
        </w:tc>
        <w:tc>
          <w:tcPr>
            <w:tcW w:w="5400" w:type="dxa"/>
            <w:shd w:val="clear" w:color="auto" w:fill="auto"/>
            <w:tcMar>
              <w:top w:w="100" w:type="dxa"/>
              <w:left w:w="100" w:type="dxa"/>
              <w:bottom w:w="100" w:type="dxa"/>
              <w:right w:w="100" w:type="dxa"/>
            </w:tcMar>
          </w:tcPr>
          <w:p w:rsidR="00FF0DAA" w:rsidRDefault="0029045F">
            <w:pPr>
              <w:rPr>
                <w:rFonts w:ascii="Arial" w:eastAsia="Arial" w:hAnsi="Arial" w:cs="Arial"/>
                <w:color w:val="000000"/>
              </w:rPr>
            </w:pPr>
            <w:r>
              <w:rPr>
                <w:rFonts w:ascii="Arial" w:eastAsia="Arial" w:hAnsi="Arial" w:cs="Arial"/>
                <w:color w:val="000000"/>
                <w:sz w:val="24"/>
                <w:szCs w:val="24"/>
              </w:rPr>
              <w:t>means Working Days from 8am till 6pm and Saturdays from 10am till 4pm.</w:t>
            </w:r>
          </w:p>
        </w:tc>
      </w:tr>
      <w:tr w:rsidR="00FF0DAA">
        <w:tc>
          <w:tcPr>
            <w:tcW w:w="3600" w:type="dxa"/>
            <w:shd w:val="clear" w:color="auto" w:fill="auto"/>
            <w:tcMar>
              <w:top w:w="100" w:type="dxa"/>
              <w:left w:w="100" w:type="dxa"/>
              <w:bottom w:w="100" w:type="dxa"/>
              <w:right w:w="100" w:type="dxa"/>
            </w:tcMar>
          </w:tcPr>
          <w:p w:rsidR="00FF0DAA" w:rsidRDefault="0029045F">
            <w:pPr>
              <w:rPr>
                <w:rFonts w:ascii="Arial" w:eastAsia="Arial" w:hAnsi="Arial" w:cs="Arial"/>
                <w:color w:val="000000"/>
              </w:rPr>
            </w:pPr>
            <w:r>
              <w:rPr>
                <w:rFonts w:ascii="Arial" w:eastAsia="Arial" w:hAnsi="Arial" w:cs="Arial"/>
                <w:b/>
                <w:color w:val="000000"/>
                <w:sz w:val="24"/>
                <w:szCs w:val="24"/>
              </w:rPr>
              <w:t>“Financial Distress Event”</w:t>
            </w:r>
            <w:r>
              <w:rPr>
                <w:rFonts w:ascii="Arial" w:eastAsia="Arial" w:hAnsi="Arial" w:cs="Arial"/>
                <w:color w:val="000000"/>
                <w:sz w:val="24"/>
                <w:szCs w:val="24"/>
              </w:rPr>
              <w:t xml:space="preserve"> </w:t>
            </w:r>
          </w:p>
        </w:tc>
        <w:tc>
          <w:tcPr>
            <w:tcW w:w="5400" w:type="dxa"/>
            <w:shd w:val="clear" w:color="auto" w:fill="auto"/>
            <w:tcMar>
              <w:top w:w="100" w:type="dxa"/>
              <w:left w:w="100" w:type="dxa"/>
              <w:bottom w:w="100" w:type="dxa"/>
              <w:right w:w="100" w:type="dxa"/>
            </w:tcMar>
          </w:tcPr>
          <w:p w:rsidR="00FF0DAA" w:rsidRDefault="0029045F">
            <w:pPr>
              <w:rPr>
                <w:rFonts w:ascii="Arial" w:eastAsia="Arial" w:hAnsi="Arial" w:cs="Arial"/>
                <w:color w:val="000000"/>
                <w:sz w:val="24"/>
                <w:szCs w:val="24"/>
              </w:rPr>
            </w:pPr>
            <w:r>
              <w:rPr>
                <w:rFonts w:ascii="Arial" w:eastAsia="Arial" w:hAnsi="Arial" w:cs="Arial"/>
                <w:color w:val="000000"/>
                <w:sz w:val="24"/>
                <w:szCs w:val="24"/>
              </w:rPr>
              <w:t>means the occurrence of one or more o</w:t>
            </w:r>
            <w:r>
              <w:rPr>
                <w:rFonts w:ascii="Arial" w:eastAsia="Arial" w:hAnsi="Arial" w:cs="Arial"/>
                <w:color w:val="000000"/>
                <w:sz w:val="24"/>
                <w:szCs w:val="24"/>
              </w:rPr>
              <w:t>f the following events:</w:t>
            </w:r>
          </w:p>
          <w:p w:rsidR="00FF0DAA" w:rsidRDefault="0029045F">
            <w:pPr>
              <w:numPr>
                <w:ilvl w:val="0"/>
                <w:numId w:val="3"/>
              </w:numPr>
              <w:ind w:left="708"/>
              <w:rPr>
                <w:rFonts w:ascii="Arial" w:eastAsia="Arial" w:hAnsi="Arial" w:cs="Arial"/>
                <w:color w:val="000000"/>
                <w:sz w:val="24"/>
                <w:szCs w:val="24"/>
              </w:rPr>
            </w:pPr>
            <w:r>
              <w:rPr>
                <w:rFonts w:ascii="Arial" w:eastAsia="Arial" w:hAnsi="Arial" w:cs="Arial"/>
                <w:color w:val="000000"/>
                <w:sz w:val="24"/>
                <w:szCs w:val="24"/>
              </w:rPr>
              <w:t>The Supplier making any public announcement about a material deterioration in its financial position or prospects; or</w:t>
            </w:r>
          </w:p>
          <w:p w:rsidR="00FF0DAA" w:rsidRDefault="0029045F">
            <w:pPr>
              <w:numPr>
                <w:ilvl w:val="0"/>
                <w:numId w:val="3"/>
              </w:numPr>
              <w:ind w:left="708"/>
              <w:rPr>
                <w:rFonts w:ascii="Arial" w:eastAsia="Arial" w:hAnsi="Arial" w:cs="Arial"/>
                <w:color w:val="000000"/>
                <w:sz w:val="24"/>
                <w:szCs w:val="24"/>
              </w:rPr>
            </w:pPr>
            <w:r>
              <w:rPr>
                <w:rFonts w:ascii="Arial" w:eastAsia="Arial" w:hAnsi="Arial" w:cs="Arial"/>
                <w:color w:val="000000"/>
                <w:sz w:val="24"/>
                <w:szCs w:val="24"/>
              </w:rPr>
              <w:lastRenderedPageBreak/>
              <w:t>there being a public investigation into improper financial accounting and reporting, suspected fraud or any other impropriety of The Supplier; and/or</w:t>
            </w:r>
          </w:p>
          <w:p w:rsidR="00FF0DAA" w:rsidRDefault="0029045F">
            <w:pPr>
              <w:numPr>
                <w:ilvl w:val="0"/>
                <w:numId w:val="3"/>
              </w:numPr>
              <w:ind w:left="708"/>
              <w:rPr>
                <w:rFonts w:ascii="Arial" w:eastAsia="Arial" w:hAnsi="Arial" w:cs="Arial"/>
                <w:color w:val="000000"/>
                <w:sz w:val="24"/>
                <w:szCs w:val="24"/>
              </w:rPr>
            </w:pPr>
            <w:r>
              <w:rPr>
                <w:rFonts w:ascii="Arial" w:eastAsia="Arial" w:hAnsi="Arial" w:cs="Arial"/>
                <w:color w:val="000000"/>
                <w:sz w:val="24"/>
                <w:szCs w:val="24"/>
              </w:rPr>
              <w:t xml:space="preserve">commencement of any litigation with respect to obligations under a service contract with a total contract </w:t>
            </w:r>
            <w:r>
              <w:rPr>
                <w:rFonts w:ascii="Arial" w:eastAsia="Arial" w:hAnsi="Arial" w:cs="Arial"/>
                <w:color w:val="000000"/>
                <w:sz w:val="24"/>
                <w:szCs w:val="24"/>
              </w:rPr>
              <w:t>value greater than £5m;</w:t>
            </w:r>
          </w:p>
        </w:tc>
      </w:tr>
      <w:tr w:rsidR="00FF0DAA">
        <w:tc>
          <w:tcPr>
            <w:tcW w:w="3600" w:type="dxa"/>
            <w:shd w:val="clear" w:color="auto" w:fill="auto"/>
            <w:tcMar>
              <w:top w:w="100" w:type="dxa"/>
              <w:left w:w="100" w:type="dxa"/>
              <w:bottom w:w="100" w:type="dxa"/>
              <w:right w:w="100" w:type="dxa"/>
            </w:tcMar>
          </w:tcPr>
          <w:p w:rsidR="00FF0DAA" w:rsidRDefault="0029045F">
            <w:pPr>
              <w:rPr>
                <w:rFonts w:ascii="Arial" w:eastAsia="Arial" w:hAnsi="Arial" w:cs="Arial"/>
                <w:color w:val="000000"/>
              </w:rPr>
            </w:pPr>
            <w:r>
              <w:rPr>
                <w:rFonts w:ascii="Arial" w:eastAsia="Arial" w:hAnsi="Arial" w:cs="Arial"/>
                <w:b/>
                <w:color w:val="000000"/>
                <w:sz w:val="24"/>
                <w:szCs w:val="24"/>
              </w:rPr>
              <w:lastRenderedPageBreak/>
              <w:t>“ICANN”</w:t>
            </w:r>
            <w:r>
              <w:rPr>
                <w:rFonts w:ascii="Arial" w:eastAsia="Arial" w:hAnsi="Arial" w:cs="Arial"/>
                <w:color w:val="000000"/>
                <w:sz w:val="24"/>
                <w:szCs w:val="24"/>
              </w:rPr>
              <w:t xml:space="preserve"> </w:t>
            </w:r>
          </w:p>
        </w:tc>
        <w:tc>
          <w:tcPr>
            <w:tcW w:w="5400" w:type="dxa"/>
            <w:shd w:val="clear" w:color="auto" w:fill="auto"/>
            <w:tcMar>
              <w:top w:w="100" w:type="dxa"/>
              <w:left w:w="100" w:type="dxa"/>
              <w:bottom w:w="100" w:type="dxa"/>
              <w:right w:w="100" w:type="dxa"/>
            </w:tcMar>
          </w:tcPr>
          <w:p w:rsidR="00FF0DAA" w:rsidRDefault="0029045F">
            <w:pPr>
              <w:rPr>
                <w:rFonts w:ascii="Arial" w:eastAsia="Arial" w:hAnsi="Arial" w:cs="Arial"/>
                <w:color w:val="000000"/>
              </w:rPr>
            </w:pPr>
            <w:r>
              <w:rPr>
                <w:rFonts w:ascii="Arial" w:eastAsia="Arial" w:hAnsi="Arial" w:cs="Arial"/>
                <w:color w:val="000000"/>
                <w:sz w:val="24"/>
                <w:szCs w:val="24"/>
              </w:rPr>
              <w:t>means The Internet Corporation for Assigned Names and Numbers (ICANN), an internationally organised, non-profit corporation that has responsibility for Internet protocol address space allocation, protocol identifier assign</w:t>
            </w:r>
            <w:r>
              <w:rPr>
                <w:rFonts w:ascii="Arial" w:eastAsia="Arial" w:hAnsi="Arial" w:cs="Arial"/>
                <w:color w:val="000000"/>
                <w:sz w:val="24"/>
                <w:szCs w:val="24"/>
              </w:rPr>
              <w:t>ment, generic (gTLD) and country code (ccTLD) top-level domain name system management, and root server system management functions;</w:t>
            </w:r>
          </w:p>
        </w:tc>
      </w:tr>
      <w:tr w:rsidR="00FF0DAA">
        <w:tc>
          <w:tcPr>
            <w:tcW w:w="3600" w:type="dxa"/>
            <w:shd w:val="clear" w:color="auto" w:fill="auto"/>
            <w:tcMar>
              <w:top w:w="100" w:type="dxa"/>
              <w:left w:w="100" w:type="dxa"/>
              <w:bottom w:w="100" w:type="dxa"/>
              <w:right w:w="100" w:type="dxa"/>
            </w:tcMar>
          </w:tcPr>
          <w:p w:rsidR="00FF0DAA" w:rsidRDefault="0029045F">
            <w:pPr>
              <w:rPr>
                <w:rFonts w:ascii="Arial" w:eastAsia="Arial" w:hAnsi="Arial" w:cs="Arial"/>
                <w:color w:val="000000"/>
              </w:rPr>
            </w:pPr>
            <w:r>
              <w:rPr>
                <w:rFonts w:ascii="Arial" w:eastAsia="Arial" w:hAnsi="Arial" w:cs="Arial"/>
                <w:b/>
                <w:color w:val="000000"/>
                <w:sz w:val="24"/>
                <w:szCs w:val="24"/>
              </w:rPr>
              <w:t>“IETF”</w:t>
            </w:r>
            <w:r>
              <w:rPr>
                <w:rFonts w:ascii="Arial" w:eastAsia="Arial" w:hAnsi="Arial" w:cs="Arial"/>
                <w:color w:val="000000"/>
                <w:sz w:val="24"/>
                <w:szCs w:val="24"/>
              </w:rPr>
              <w:t xml:space="preserve"> </w:t>
            </w:r>
          </w:p>
        </w:tc>
        <w:tc>
          <w:tcPr>
            <w:tcW w:w="5400" w:type="dxa"/>
            <w:shd w:val="clear" w:color="auto" w:fill="auto"/>
            <w:tcMar>
              <w:top w:w="100" w:type="dxa"/>
              <w:left w:w="100" w:type="dxa"/>
              <w:bottom w:w="100" w:type="dxa"/>
              <w:right w:w="100" w:type="dxa"/>
            </w:tcMar>
          </w:tcPr>
          <w:p w:rsidR="00FF0DAA" w:rsidRDefault="0029045F">
            <w:pPr>
              <w:rPr>
                <w:rFonts w:ascii="Arial" w:eastAsia="Arial" w:hAnsi="Arial" w:cs="Arial"/>
                <w:color w:val="000000"/>
              </w:rPr>
            </w:pPr>
            <w:r>
              <w:rPr>
                <w:rFonts w:ascii="Arial" w:eastAsia="Arial" w:hAnsi="Arial" w:cs="Arial"/>
                <w:color w:val="000000"/>
                <w:sz w:val="24"/>
                <w:szCs w:val="24"/>
              </w:rPr>
              <w:t>means the Internet Engineering Task Force, the standards development organisation for the Internet.</w:t>
            </w:r>
          </w:p>
        </w:tc>
      </w:tr>
      <w:tr w:rsidR="00FF0DAA">
        <w:tc>
          <w:tcPr>
            <w:tcW w:w="3600" w:type="dxa"/>
            <w:shd w:val="clear" w:color="auto" w:fill="auto"/>
            <w:tcMar>
              <w:top w:w="100" w:type="dxa"/>
              <w:left w:w="100" w:type="dxa"/>
              <w:bottom w:w="100" w:type="dxa"/>
              <w:right w:w="100" w:type="dxa"/>
            </w:tcMar>
          </w:tcPr>
          <w:p w:rsidR="00FF0DAA" w:rsidRDefault="0029045F">
            <w:pPr>
              <w:rPr>
                <w:rFonts w:ascii="Arial" w:eastAsia="Arial" w:hAnsi="Arial" w:cs="Arial"/>
                <w:color w:val="000000"/>
              </w:rPr>
            </w:pPr>
            <w:r>
              <w:rPr>
                <w:rFonts w:ascii="Arial" w:eastAsia="Arial" w:hAnsi="Arial" w:cs="Arial"/>
                <w:b/>
                <w:color w:val="000000"/>
                <w:sz w:val="24"/>
                <w:szCs w:val="24"/>
              </w:rPr>
              <w:t>“Incident”</w:t>
            </w:r>
            <w:r>
              <w:rPr>
                <w:rFonts w:ascii="Arial" w:eastAsia="Arial" w:hAnsi="Arial" w:cs="Arial"/>
                <w:color w:val="000000"/>
                <w:sz w:val="24"/>
                <w:szCs w:val="24"/>
              </w:rPr>
              <w:t xml:space="preserve"> </w:t>
            </w:r>
          </w:p>
        </w:tc>
        <w:tc>
          <w:tcPr>
            <w:tcW w:w="5400" w:type="dxa"/>
            <w:shd w:val="clear" w:color="auto" w:fill="auto"/>
            <w:tcMar>
              <w:top w:w="100" w:type="dxa"/>
              <w:left w:w="100" w:type="dxa"/>
              <w:bottom w:w="100" w:type="dxa"/>
              <w:right w:w="100" w:type="dxa"/>
            </w:tcMar>
          </w:tcPr>
          <w:p w:rsidR="00FF0DAA" w:rsidRDefault="0029045F">
            <w:pPr>
              <w:rPr>
                <w:rFonts w:ascii="Arial" w:eastAsia="Arial" w:hAnsi="Arial" w:cs="Arial"/>
                <w:color w:val="000000"/>
              </w:rPr>
            </w:pPr>
            <w:r>
              <w:rPr>
                <w:rFonts w:ascii="Arial" w:eastAsia="Arial" w:hAnsi="Arial" w:cs="Arial"/>
                <w:color w:val="000000"/>
                <w:sz w:val="24"/>
                <w:szCs w:val="24"/>
              </w:rPr>
              <w:t>means an unplanned interruption or reduction in quality of an IT service;</w:t>
            </w:r>
          </w:p>
        </w:tc>
      </w:tr>
      <w:tr w:rsidR="00FF0DAA">
        <w:tc>
          <w:tcPr>
            <w:tcW w:w="3600" w:type="dxa"/>
            <w:shd w:val="clear" w:color="auto" w:fill="auto"/>
            <w:tcMar>
              <w:top w:w="100" w:type="dxa"/>
              <w:left w:w="100" w:type="dxa"/>
              <w:bottom w:w="100" w:type="dxa"/>
              <w:right w:w="100" w:type="dxa"/>
            </w:tcMar>
          </w:tcPr>
          <w:p w:rsidR="00FF0DAA" w:rsidRDefault="0029045F">
            <w:pPr>
              <w:rPr>
                <w:rFonts w:ascii="Arial" w:eastAsia="Arial" w:hAnsi="Arial" w:cs="Arial"/>
                <w:color w:val="000000"/>
              </w:rPr>
            </w:pPr>
            <w:r>
              <w:rPr>
                <w:rFonts w:ascii="Arial" w:eastAsia="Arial" w:hAnsi="Arial" w:cs="Arial"/>
                <w:b/>
                <w:color w:val="000000"/>
                <w:sz w:val="24"/>
                <w:szCs w:val="24"/>
              </w:rPr>
              <w:t>“Major Business Incident”</w:t>
            </w:r>
            <w:r>
              <w:rPr>
                <w:rFonts w:ascii="Arial" w:eastAsia="Arial" w:hAnsi="Arial" w:cs="Arial"/>
                <w:color w:val="000000"/>
                <w:sz w:val="24"/>
                <w:szCs w:val="24"/>
              </w:rPr>
              <w:t xml:space="preserve"> </w:t>
            </w:r>
          </w:p>
        </w:tc>
        <w:tc>
          <w:tcPr>
            <w:tcW w:w="5400" w:type="dxa"/>
            <w:shd w:val="clear" w:color="auto" w:fill="auto"/>
            <w:tcMar>
              <w:top w:w="100" w:type="dxa"/>
              <w:left w:w="100" w:type="dxa"/>
              <w:bottom w:w="100" w:type="dxa"/>
              <w:right w:w="100" w:type="dxa"/>
            </w:tcMar>
          </w:tcPr>
          <w:p w:rsidR="00FF0DAA" w:rsidRDefault="0029045F">
            <w:pPr>
              <w:rPr>
                <w:rFonts w:ascii="Arial" w:eastAsia="Arial" w:hAnsi="Arial" w:cs="Arial"/>
                <w:color w:val="000000"/>
              </w:rPr>
            </w:pPr>
            <w:r>
              <w:rPr>
                <w:rFonts w:ascii="Arial" w:eastAsia="Arial" w:hAnsi="Arial" w:cs="Arial"/>
                <w:color w:val="000000"/>
                <w:sz w:val="24"/>
                <w:szCs w:val="24"/>
              </w:rPr>
              <w:t>means the failure, or likely failure of The Supplier organisation itself</w:t>
            </w:r>
          </w:p>
        </w:tc>
      </w:tr>
      <w:tr w:rsidR="00FF0DAA">
        <w:tc>
          <w:tcPr>
            <w:tcW w:w="3600" w:type="dxa"/>
            <w:shd w:val="clear" w:color="auto" w:fill="auto"/>
            <w:tcMar>
              <w:top w:w="100" w:type="dxa"/>
              <w:left w:w="100" w:type="dxa"/>
              <w:bottom w:w="100" w:type="dxa"/>
              <w:right w:w="100" w:type="dxa"/>
            </w:tcMar>
          </w:tcPr>
          <w:p w:rsidR="00FF0DAA" w:rsidRDefault="0029045F">
            <w:pPr>
              <w:rPr>
                <w:rFonts w:ascii="Arial" w:eastAsia="Arial" w:hAnsi="Arial" w:cs="Arial"/>
                <w:color w:val="000000"/>
              </w:rPr>
            </w:pPr>
            <w:r>
              <w:rPr>
                <w:rFonts w:ascii="Arial" w:eastAsia="Arial" w:hAnsi="Arial" w:cs="Arial"/>
                <w:b/>
                <w:color w:val="000000"/>
                <w:sz w:val="24"/>
                <w:szCs w:val="24"/>
              </w:rPr>
              <w:t>“Major Incident”</w:t>
            </w:r>
            <w:r>
              <w:rPr>
                <w:rFonts w:ascii="Arial" w:eastAsia="Arial" w:hAnsi="Arial" w:cs="Arial"/>
                <w:color w:val="000000"/>
                <w:sz w:val="24"/>
                <w:szCs w:val="24"/>
              </w:rPr>
              <w:t xml:space="preserve"> </w:t>
            </w:r>
          </w:p>
        </w:tc>
        <w:tc>
          <w:tcPr>
            <w:tcW w:w="5400" w:type="dxa"/>
            <w:shd w:val="clear" w:color="auto" w:fill="auto"/>
            <w:tcMar>
              <w:top w:w="100" w:type="dxa"/>
              <w:left w:w="100" w:type="dxa"/>
              <w:bottom w:w="100" w:type="dxa"/>
              <w:right w:w="100" w:type="dxa"/>
            </w:tcMar>
          </w:tcPr>
          <w:p w:rsidR="00FF0DAA" w:rsidRDefault="0029045F">
            <w:pPr>
              <w:rPr>
                <w:rFonts w:ascii="Arial" w:eastAsia="Arial" w:hAnsi="Arial" w:cs="Arial"/>
                <w:color w:val="000000"/>
              </w:rPr>
            </w:pPr>
            <w:r>
              <w:rPr>
                <w:rFonts w:ascii="Arial" w:eastAsia="Arial" w:hAnsi="Arial" w:cs="Arial"/>
                <w:color w:val="000000"/>
                <w:sz w:val="24"/>
                <w:szCs w:val="24"/>
              </w:rPr>
              <w:t>means any incident that causes the loss or potential loss of critical Registry functions to a large number of users.</w:t>
            </w:r>
          </w:p>
        </w:tc>
      </w:tr>
      <w:tr w:rsidR="00FF0DAA">
        <w:tc>
          <w:tcPr>
            <w:tcW w:w="3600" w:type="dxa"/>
            <w:shd w:val="clear" w:color="auto" w:fill="auto"/>
            <w:tcMar>
              <w:top w:w="100" w:type="dxa"/>
              <w:left w:w="100" w:type="dxa"/>
              <w:bottom w:w="100" w:type="dxa"/>
              <w:right w:w="100" w:type="dxa"/>
            </w:tcMar>
          </w:tcPr>
          <w:p w:rsidR="00FF0DAA" w:rsidRDefault="0029045F">
            <w:pPr>
              <w:rPr>
                <w:rFonts w:ascii="Arial" w:eastAsia="Arial" w:hAnsi="Arial" w:cs="Arial"/>
                <w:color w:val="000000"/>
              </w:rPr>
            </w:pPr>
            <w:r>
              <w:rPr>
                <w:rFonts w:ascii="Arial" w:eastAsia="Arial" w:hAnsi="Arial" w:cs="Arial"/>
                <w:b/>
                <w:color w:val="000000"/>
                <w:sz w:val="24"/>
                <w:szCs w:val="24"/>
              </w:rPr>
              <w:t>“Registrant”</w:t>
            </w:r>
            <w:r>
              <w:rPr>
                <w:rFonts w:ascii="Arial" w:eastAsia="Arial" w:hAnsi="Arial" w:cs="Arial"/>
                <w:color w:val="000000"/>
                <w:sz w:val="24"/>
                <w:szCs w:val="24"/>
              </w:rPr>
              <w:t xml:space="preserve"> </w:t>
            </w:r>
          </w:p>
        </w:tc>
        <w:tc>
          <w:tcPr>
            <w:tcW w:w="5400" w:type="dxa"/>
            <w:shd w:val="clear" w:color="auto" w:fill="auto"/>
            <w:tcMar>
              <w:top w:w="100" w:type="dxa"/>
              <w:left w:w="100" w:type="dxa"/>
              <w:bottom w:w="100" w:type="dxa"/>
              <w:right w:w="100" w:type="dxa"/>
            </w:tcMar>
          </w:tcPr>
          <w:p w:rsidR="00FF0DAA" w:rsidRDefault="0029045F">
            <w:pPr>
              <w:rPr>
                <w:rFonts w:ascii="Arial" w:eastAsia="Arial" w:hAnsi="Arial" w:cs="Arial"/>
                <w:color w:val="000000"/>
              </w:rPr>
            </w:pPr>
            <w:r>
              <w:rPr>
                <w:rFonts w:ascii="Arial" w:eastAsia="Arial" w:hAnsi="Arial" w:cs="Arial"/>
                <w:color w:val="000000"/>
                <w:sz w:val="24"/>
                <w:szCs w:val="24"/>
              </w:rPr>
              <w:t>means an entity which has registered a domain name;</w:t>
            </w:r>
          </w:p>
        </w:tc>
      </w:tr>
      <w:tr w:rsidR="00FF0DAA">
        <w:tc>
          <w:tcPr>
            <w:tcW w:w="3600" w:type="dxa"/>
            <w:shd w:val="clear" w:color="auto" w:fill="auto"/>
            <w:tcMar>
              <w:top w:w="100" w:type="dxa"/>
              <w:left w:w="100" w:type="dxa"/>
              <w:bottom w:w="100" w:type="dxa"/>
              <w:right w:w="100" w:type="dxa"/>
            </w:tcMar>
          </w:tcPr>
          <w:p w:rsidR="00FF0DAA" w:rsidRDefault="0029045F">
            <w:pPr>
              <w:rPr>
                <w:rFonts w:ascii="Arial" w:eastAsia="Arial" w:hAnsi="Arial" w:cs="Arial"/>
                <w:color w:val="000000"/>
              </w:rPr>
            </w:pPr>
            <w:r>
              <w:rPr>
                <w:rFonts w:ascii="Arial" w:eastAsia="Arial" w:hAnsi="Arial" w:cs="Arial"/>
                <w:b/>
                <w:color w:val="000000"/>
                <w:sz w:val="24"/>
                <w:szCs w:val="24"/>
              </w:rPr>
              <w:t>“Registrar”</w:t>
            </w:r>
            <w:r>
              <w:rPr>
                <w:rFonts w:ascii="Arial" w:eastAsia="Arial" w:hAnsi="Arial" w:cs="Arial"/>
                <w:color w:val="000000"/>
                <w:sz w:val="24"/>
                <w:szCs w:val="24"/>
              </w:rPr>
              <w:t xml:space="preserve"> </w:t>
            </w:r>
          </w:p>
        </w:tc>
        <w:tc>
          <w:tcPr>
            <w:tcW w:w="5400" w:type="dxa"/>
            <w:shd w:val="clear" w:color="auto" w:fill="auto"/>
            <w:tcMar>
              <w:top w:w="100" w:type="dxa"/>
              <w:left w:w="100" w:type="dxa"/>
              <w:bottom w:w="100" w:type="dxa"/>
              <w:right w:w="100" w:type="dxa"/>
            </w:tcMar>
          </w:tcPr>
          <w:p w:rsidR="00FF0DAA" w:rsidRDefault="0029045F">
            <w:pPr>
              <w:rPr>
                <w:rFonts w:ascii="Arial" w:eastAsia="Arial" w:hAnsi="Arial" w:cs="Arial"/>
                <w:color w:val="000000"/>
              </w:rPr>
            </w:pPr>
            <w:r>
              <w:rPr>
                <w:rFonts w:ascii="Arial" w:eastAsia="Arial" w:hAnsi="Arial" w:cs="Arial"/>
                <w:color w:val="000000"/>
                <w:sz w:val="24"/>
                <w:szCs w:val="24"/>
              </w:rPr>
              <w:t>means an entity through which individuals and other entiti</w:t>
            </w:r>
            <w:r>
              <w:rPr>
                <w:rFonts w:ascii="Arial" w:eastAsia="Arial" w:hAnsi="Arial" w:cs="Arial"/>
                <w:color w:val="000000"/>
                <w:sz w:val="24"/>
                <w:szCs w:val="24"/>
              </w:rPr>
              <w:t xml:space="preserve">es (Registrants) register domain names; </w:t>
            </w:r>
          </w:p>
        </w:tc>
      </w:tr>
      <w:tr w:rsidR="00FF0DAA">
        <w:tc>
          <w:tcPr>
            <w:tcW w:w="3600" w:type="dxa"/>
            <w:shd w:val="clear" w:color="auto" w:fill="auto"/>
            <w:tcMar>
              <w:top w:w="100" w:type="dxa"/>
              <w:left w:w="100" w:type="dxa"/>
              <w:bottom w:w="100" w:type="dxa"/>
              <w:right w:w="100" w:type="dxa"/>
            </w:tcMar>
          </w:tcPr>
          <w:p w:rsidR="00FF0DAA" w:rsidRDefault="0029045F">
            <w:pPr>
              <w:rPr>
                <w:rFonts w:ascii="Arial" w:eastAsia="Arial" w:hAnsi="Arial" w:cs="Arial"/>
                <w:b/>
                <w:color w:val="000000"/>
              </w:rPr>
            </w:pPr>
            <w:r>
              <w:rPr>
                <w:rFonts w:ascii="Arial" w:eastAsia="Arial" w:hAnsi="Arial" w:cs="Arial"/>
                <w:b/>
                <w:color w:val="000000"/>
                <w:sz w:val="24"/>
                <w:szCs w:val="24"/>
              </w:rPr>
              <w:t>“Registration”</w:t>
            </w:r>
          </w:p>
        </w:tc>
        <w:tc>
          <w:tcPr>
            <w:tcW w:w="5400" w:type="dxa"/>
            <w:shd w:val="clear" w:color="auto" w:fill="auto"/>
            <w:tcMar>
              <w:top w:w="100" w:type="dxa"/>
              <w:left w:w="100" w:type="dxa"/>
              <w:bottom w:w="100" w:type="dxa"/>
              <w:right w:w="100" w:type="dxa"/>
            </w:tcMar>
          </w:tcPr>
          <w:p w:rsidR="00FF0DAA" w:rsidRDefault="0029045F">
            <w:pPr>
              <w:rPr>
                <w:rFonts w:ascii="Arial" w:eastAsia="Arial" w:hAnsi="Arial" w:cs="Arial"/>
                <w:color w:val="000000"/>
              </w:rPr>
            </w:pPr>
            <w:r>
              <w:rPr>
                <w:rFonts w:ascii="Arial" w:eastAsia="Arial" w:hAnsi="Arial" w:cs="Arial"/>
                <w:color w:val="000000"/>
                <w:sz w:val="24"/>
                <w:szCs w:val="24"/>
              </w:rPr>
              <w:t>means the right granted to the Registrant to use the domain name for a limited, renewable term, without a transfer of property, and subject to the approval of the Critical Domain Holder.</w:t>
            </w:r>
          </w:p>
        </w:tc>
      </w:tr>
      <w:tr w:rsidR="00FF0DAA">
        <w:tc>
          <w:tcPr>
            <w:tcW w:w="3600" w:type="dxa"/>
            <w:shd w:val="clear" w:color="auto" w:fill="auto"/>
            <w:tcMar>
              <w:top w:w="100" w:type="dxa"/>
              <w:left w:w="100" w:type="dxa"/>
              <w:bottom w:w="100" w:type="dxa"/>
              <w:right w:w="100" w:type="dxa"/>
            </w:tcMar>
          </w:tcPr>
          <w:p w:rsidR="00FF0DAA" w:rsidRDefault="0029045F">
            <w:pPr>
              <w:rPr>
                <w:rFonts w:ascii="Arial" w:eastAsia="Arial" w:hAnsi="Arial" w:cs="Arial"/>
                <w:b/>
                <w:color w:val="000000"/>
              </w:rPr>
            </w:pPr>
            <w:r>
              <w:rPr>
                <w:rFonts w:ascii="Arial" w:eastAsia="Arial" w:hAnsi="Arial" w:cs="Arial"/>
                <w:b/>
                <w:color w:val="000000"/>
                <w:sz w:val="24"/>
                <w:szCs w:val="24"/>
              </w:rPr>
              <w:lastRenderedPageBreak/>
              <w:t>“Registrati</w:t>
            </w:r>
            <w:r>
              <w:rPr>
                <w:rFonts w:ascii="Arial" w:eastAsia="Arial" w:hAnsi="Arial" w:cs="Arial"/>
                <w:b/>
                <w:color w:val="000000"/>
                <w:sz w:val="24"/>
                <w:szCs w:val="24"/>
              </w:rPr>
              <w:t>on Services”</w:t>
            </w:r>
          </w:p>
        </w:tc>
        <w:tc>
          <w:tcPr>
            <w:tcW w:w="5400" w:type="dxa"/>
            <w:shd w:val="clear" w:color="auto" w:fill="auto"/>
            <w:tcMar>
              <w:top w:w="100" w:type="dxa"/>
              <w:left w:w="100" w:type="dxa"/>
              <w:bottom w:w="100" w:type="dxa"/>
              <w:right w:w="100" w:type="dxa"/>
            </w:tcMar>
          </w:tcPr>
          <w:p w:rsidR="00FF0DAA" w:rsidRDefault="0029045F">
            <w:pPr>
              <w:rPr>
                <w:rFonts w:ascii="Arial" w:eastAsia="Arial" w:hAnsi="Arial" w:cs="Arial"/>
                <w:color w:val="000000"/>
              </w:rPr>
            </w:pPr>
            <w:r>
              <w:rPr>
                <w:rFonts w:ascii="Arial" w:eastAsia="Arial" w:hAnsi="Arial" w:cs="Arial"/>
                <w:color w:val="000000"/>
                <w:sz w:val="24"/>
                <w:szCs w:val="24"/>
              </w:rPr>
              <w:t xml:space="preserve">means the services of registration, renewal, update, transfer or management </w:t>
            </w:r>
            <w:proofErr w:type="gramStart"/>
            <w:r>
              <w:rPr>
                <w:rFonts w:ascii="Arial" w:eastAsia="Arial" w:hAnsi="Arial" w:cs="Arial"/>
                <w:color w:val="000000"/>
                <w:sz w:val="24"/>
                <w:szCs w:val="24"/>
              </w:rPr>
              <w:t>of .</w:t>
            </w:r>
            <w:proofErr w:type="gramEnd"/>
            <w:r>
              <w:rPr>
                <w:rFonts w:ascii="Arial" w:eastAsia="Arial" w:hAnsi="Arial" w:cs="Arial"/>
                <w:color w:val="000000"/>
                <w:sz w:val="24"/>
                <w:szCs w:val="24"/>
              </w:rPr>
              <w:t>gov.uk domain names offered to Registrants together with and other technical services related to domain names that may be provided.</w:t>
            </w:r>
          </w:p>
        </w:tc>
      </w:tr>
      <w:tr w:rsidR="00FF0DAA">
        <w:tc>
          <w:tcPr>
            <w:tcW w:w="3600" w:type="dxa"/>
            <w:shd w:val="clear" w:color="auto" w:fill="auto"/>
            <w:tcMar>
              <w:top w:w="100" w:type="dxa"/>
              <w:left w:w="100" w:type="dxa"/>
              <w:bottom w:w="100" w:type="dxa"/>
              <w:right w:w="100" w:type="dxa"/>
            </w:tcMar>
          </w:tcPr>
          <w:p w:rsidR="00FF0DAA" w:rsidRDefault="0029045F">
            <w:pPr>
              <w:rPr>
                <w:rFonts w:ascii="Arial" w:eastAsia="Arial" w:hAnsi="Arial" w:cs="Arial"/>
                <w:color w:val="000000"/>
              </w:rPr>
            </w:pPr>
            <w:r>
              <w:rPr>
                <w:rFonts w:ascii="Arial" w:eastAsia="Arial" w:hAnsi="Arial" w:cs="Arial"/>
                <w:b/>
                <w:color w:val="000000"/>
                <w:sz w:val="24"/>
                <w:szCs w:val="24"/>
              </w:rPr>
              <w:t>“Registry”</w:t>
            </w:r>
            <w:r>
              <w:rPr>
                <w:rFonts w:ascii="Arial" w:eastAsia="Arial" w:hAnsi="Arial" w:cs="Arial"/>
                <w:color w:val="000000"/>
                <w:sz w:val="24"/>
                <w:szCs w:val="24"/>
              </w:rPr>
              <w:t xml:space="preserve"> </w:t>
            </w:r>
          </w:p>
        </w:tc>
        <w:tc>
          <w:tcPr>
            <w:tcW w:w="5400" w:type="dxa"/>
            <w:shd w:val="clear" w:color="auto" w:fill="auto"/>
            <w:tcMar>
              <w:top w:w="100" w:type="dxa"/>
              <w:left w:w="100" w:type="dxa"/>
              <w:bottom w:w="100" w:type="dxa"/>
              <w:right w:w="100" w:type="dxa"/>
            </w:tcMar>
          </w:tcPr>
          <w:p w:rsidR="00FF0DAA" w:rsidRDefault="0029045F">
            <w:pPr>
              <w:rPr>
                <w:rFonts w:ascii="Arial" w:eastAsia="Arial" w:hAnsi="Arial" w:cs="Arial"/>
                <w:color w:val="000000"/>
              </w:rPr>
            </w:pPr>
            <w:r>
              <w:rPr>
                <w:rFonts w:ascii="Arial" w:eastAsia="Arial" w:hAnsi="Arial" w:cs="Arial"/>
                <w:color w:val="000000"/>
                <w:sz w:val="24"/>
                <w:szCs w:val="24"/>
              </w:rPr>
              <w:t>means an authorita</w:t>
            </w:r>
            <w:r>
              <w:rPr>
                <w:rFonts w:ascii="Arial" w:eastAsia="Arial" w:hAnsi="Arial" w:cs="Arial"/>
                <w:color w:val="000000"/>
                <w:sz w:val="24"/>
                <w:szCs w:val="24"/>
              </w:rPr>
              <w:t>tive master database of the domain names recorded in the zone of a domain name. The DNS consults the Domain Registry to obtain the authoritative nameservers for the domain names registered in that domain names zone;</w:t>
            </w:r>
          </w:p>
        </w:tc>
      </w:tr>
      <w:tr w:rsidR="00FF0DAA">
        <w:tc>
          <w:tcPr>
            <w:tcW w:w="3600" w:type="dxa"/>
            <w:shd w:val="clear" w:color="auto" w:fill="auto"/>
            <w:tcMar>
              <w:top w:w="100" w:type="dxa"/>
              <w:left w:w="100" w:type="dxa"/>
              <w:bottom w:w="100" w:type="dxa"/>
              <w:right w:w="100" w:type="dxa"/>
            </w:tcMar>
          </w:tcPr>
          <w:p w:rsidR="00FF0DAA" w:rsidRDefault="0029045F">
            <w:pPr>
              <w:rPr>
                <w:rFonts w:ascii="Arial" w:eastAsia="Arial" w:hAnsi="Arial" w:cs="Arial"/>
                <w:color w:val="000000"/>
              </w:rPr>
            </w:pPr>
            <w:r>
              <w:rPr>
                <w:rFonts w:ascii="Arial" w:eastAsia="Arial" w:hAnsi="Arial" w:cs="Arial"/>
                <w:b/>
                <w:color w:val="000000"/>
                <w:sz w:val="24"/>
                <w:szCs w:val="24"/>
              </w:rPr>
              <w:t xml:space="preserve">“Registry Data” </w:t>
            </w:r>
          </w:p>
        </w:tc>
        <w:tc>
          <w:tcPr>
            <w:tcW w:w="5400" w:type="dxa"/>
            <w:shd w:val="clear" w:color="auto" w:fill="auto"/>
            <w:tcMar>
              <w:top w:w="100" w:type="dxa"/>
              <w:left w:w="100" w:type="dxa"/>
              <w:bottom w:w="100" w:type="dxa"/>
              <w:right w:w="100" w:type="dxa"/>
            </w:tcMar>
          </w:tcPr>
          <w:p w:rsidR="00FF0DAA" w:rsidRDefault="0029045F">
            <w:pPr>
              <w:rPr>
                <w:rFonts w:ascii="Arial" w:eastAsia="Arial" w:hAnsi="Arial" w:cs="Arial"/>
                <w:color w:val="000000"/>
              </w:rPr>
            </w:pPr>
            <w:r>
              <w:rPr>
                <w:rFonts w:ascii="Arial" w:eastAsia="Arial" w:hAnsi="Arial" w:cs="Arial"/>
                <w:color w:val="000000"/>
                <w:sz w:val="24"/>
                <w:szCs w:val="24"/>
              </w:rPr>
              <w:t>means any data, includ</w:t>
            </w:r>
            <w:r>
              <w:rPr>
                <w:rFonts w:ascii="Arial" w:eastAsia="Arial" w:hAnsi="Arial" w:cs="Arial"/>
                <w:color w:val="000000"/>
                <w:sz w:val="24"/>
                <w:szCs w:val="24"/>
              </w:rPr>
              <w:t xml:space="preserve">ing but not limited to DNS resource records, public-key material for DNSSEC and contact data, held by The Supplier for use in the </w:t>
            </w:r>
            <w:proofErr w:type="gramStart"/>
            <w:r>
              <w:rPr>
                <w:rFonts w:ascii="Arial" w:eastAsia="Arial" w:hAnsi="Arial" w:cs="Arial"/>
                <w:color w:val="000000"/>
                <w:sz w:val="24"/>
                <w:szCs w:val="24"/>
              </w:rPr>
              <w:t>Resilient .</w:t>
            </w:r>
            <w:proofErr w:type="gramEnd"/>
            <w:r>
              <w:rPr>
                <w:rFonts w:ascii="Arial" w:eastAsia="Arial" w:hAnsi="Arial" w:cs="Arial"/>
                <w:color w:val="000000"/>
                <w:sz w:val="24"/>
                <w:szCs w:val="24"/>
              </w:rPr>
              <w:t>gov.uk Registry Services for the Critical Domain;</w:t>
            </w:r>
          </w:p>
        </w:tc>
      </w:tr>
      <w:tr w:rsidR="00FF0DAA">
        <w:tc>
          <w:tcPr>
            <w:tcW w:w="3600" w:type="dxa"/>
            <w:shd w:val="clear" w:color="auto" w:fill="auto"/>
            <w:tcMar>
              <w:top w:w="100" w:type="dxa"/>
              <w:left w:w="100" w:type="dxa"/>
              <w:bottom w:w="100" w:type="dxa"/>
              <w:right w:w="100" w:type="dxa"/>
            </w:tcMar>
          </w:tcPr>
          <w:p w:rsidR="00FF0DAA" w:rsidRDefault="0029045F">
            <w:pPr>
              <w:rPr>
                <w:rFonts w:ascii="Arial" w:eastAsia="Arial" w:hAnsi="Arial" w:cs="Arial"/>
                <w:color w:val="000000"/>
              </w:rPr>
            </w:pPr>
            <w:r>
              <w:rPr>
                <w:rFonts w:ascii="Arial" w:eastAsia="Arial" w:hAnsi="Arial" w:cs="Arial"/>
                <w:b/>
                <w:color w:val="000000"/>
                <w:sz w:val="24"/>
                <w:szCs w:val="24"/>
              </w:rPr>
              <w:t>“Registry Lock Service”</w:t>
            </w:r>
            <w:r>
              <w:rPr>
                <w:rFonts w:ascii="Arial" w:eastAsia="Arial" w:hAnsi="Arial" w:cs="Arial"/>
                <w:color w:val="000000"/>
                <w:sz w:val="24"/>
                <w:szCs w:val="24"/>
              </w:rPr>
              <w:t xml:space="preserve"> </w:t>
            </w:r>
          </w:p>
        </w:tc>
        <w:tc>
          <w:tcPr>
            <w:tcW w:w="5400" w:type="dxa"/>
            <w:shd w:val="clear" w:color="auto" w:fill="auto"/>
            <w:tcMar>
              <w:top w:w="100" w:type="dxa"/>
              <w:left w:w="100" w:type="dxa"/>
              <w:bottom w:w="100" w:type="dxa"/>
              <w:right w:w="100" w:type="dxa"/>
            </w:tcMar>
          </w:tcPr>
          <w:p w:rsidR="00FF0DAA" w:rsidRDefault="0029045F">
            <w:pPr>
              <w:rPr>
                <w:rFonts w:ascii="Arial" w:eastAsia="Arial" w:hAnsi="Arial" w:cs="Arial"/>
                <w:color w:val="000000"/>
              </w:rPr>
            </w:pPr>
            <w:r>
              <w:rPr>
                <w:rFonts w:ascii="Arial" w:eastAsia="Arial" w:hAnsi="Arial" w:cs="Arial"/>
                <w:color w:val="000000"/>
                <w:sz w:val="24"/>
                <w:szCs w:val="24"/>
              </w:rPr>
              <w:t>means a service that ensures that Registry Data is changed only after out-of-band confirmation from an authorised representative appointed by the Registrant.</w:t>
            </w:r>
          </w:p>
        </w:tc>
      </w:tr>
      <w:tr w:rsidR="00FF0DAA">
        <w:tc>
          <w:tcPr>
            <w:tcW w:w="3600" w:type="dxa"/>
            <w:shd w:val="clear" w:color="auto" w:fill="auto"/>
            <w:tcMar>
              <w:top w:w="100" w:type="dxa"/>
              <w:left w:w="100" w:type="dxa"/>
              <w:bottom w:w="100" w:type="dxa"/>
              <w:right w:w="100" w:type="dxa"/>
            </w:tcMar>
          </w:tcPr>
          <w:p w:rsidR="00FF0DAA" w:rsidRDefault="0029045F">
            <w:pPr>
              <w:rPr>
                <w:rFonts w:ascii="Arial" w:eastAsia="Arial" w:hAnsi="Arial" w:cs="Arial"/>
                <w:color w:val="000000"/>
              </w:rPr>
            </w:pPr>
            <w:r>
              <w:rPr>
                <w:rFonts w:ascii="Arial" w:eastAsia="Arial" w:hAnsi="Arial" w:cs="Arial"/>
                <w:b/>
                <w:color w:val="000000"/>
                <w:sz w:val="24"/>
                <w:szCs w:val="24"/>
              </w:rPr>
              <w:t>“Registry Database”</w:t>
            </w:r>
            <w:r>
              <w:rPr>
                <w:rFonts w:ascii="Arial" w:eastAsia="Arial" w:hAnsi="Arial" w:cs="Arial"/>
                <w:color w:val="000000"/>
                <w:sz w:val="24"/>
                <w:szCs w:val="24"/>
              </w:rPr>
              <w:t xml:space="preserve"> </w:t>
            </w:r>
          </w:p>
        </w:tc>
        <w:tc>
          <w:tcPr>
            <w:tcW w:w="5400" w:type="dxa"/>
            <w:shd w:val="clear" w:color="auto" w:fill="auto"/>
            <w:tcMar>
              <w:top w:w="100" w:type="dxa"/>
              <w:left w:w="100" w:type="dxa"/>
              <w:bottom w:w="100" w:type="dxa"/>
              <w:right w:w="100" w:type="dxa"/>
            </w:tcMar>
          </w:tcPr>
          <w:p w:rsidR="00FF0DAA" w:rsidRDefault="0029045F">
            <w:pPr>
              <w:rPr>
                <w:rFonts w:ascii="Arial" w:eastAsia="Arial" w:hAnsi="Arial" w:cs="Arial"/>
                <w:color w:val="000000"/>
              </w:rPr>
            </w:pPr>
            <w:r>
              <w:rPr>
                <w:rFonts w:ascii="Arial" w:eastAsia="Arial" w:hAnsi="Arial" w:cs="Arial"/>
                <w:color w:val="000000"/>
                <w:sz w:val="24"/>
                <w:szCs w:val="24"/>
              </w:rPr>
              <w:t>means the core database or similar system for the management of the Registry</w:t>
            </w:r>
            <w:r>
              <w:rPr>
                <w:rFonts w:ascii="Arial" w:eastAsia="Arial" w:hAnsi="Arial" w:cs="Arial"/>
                <w:color w:val="000000"/>
                <w:sz w:val="24"/>
                <w:szCs w:val="24"/>
              </w:rPr>
              <w:t xml:space="preserve"> Data and its interface;</w:t>
            </w:r>
          </w:p>
        </w:tc>
      </w:tr>
      <w:tr w:rsidR="00FF0DAA">
        <w:tc>
          <w:tcPr>
            <w:tcW w:w="3600" w:type="dxa"/>
            <w:shd w:val="clear" w:color="auto" w:fill="auto"/>
            <w:tcMar>
              <w:top w:w="100" w:type="dxa"/>
              <w:left w:w="100" w:type="dxa"/>
              <w:bottom w:w="100" w:type="dxa"/>
              <w:right w:w="100" w:type="dxa"/>
            </w:tcMar>
          </w:tcPr>
          <w:p w:rsidR="00FF0DAA" w:rsidRDefault="0029045F">
            <w:pPr>
              <w:rPr>
                <w:rFonts w:ascii="Arial" w:eastAsia="Arial" w:hAnsi="Arial" w:cs="Arial"/>
                <w:color w:val="000000"/>
              </w:rPr>
            </w:pPr>
            <w:r>
              <w:rPr>
                <w:rFonts w:ascii="Arial" w:eastAsia="Arial" w:hAnsi="Arial" w:cs="Arial"/>
                <w:b/>
                <w:color w:val="000000"/>
                <w:sz w:val="24"/>
                <w:szCs w:val="24"/>
              </w:rPr>
              <w:t>“Registry Operator”</w:t>
            </w:r>
            <w:r>
              <w:rPr>
                <w:rFonts w:ascii="Arial" w:eastAsia="Arial" w:hAnsi="Arial" w:cs="Arial"/>
                <w:color w:val="000000"/>
                <w:sz w:val="24"/>
                <w:szCs w:val="24"/>
              </w:rPr>
              <w:t xml:space="preserve"> or </w:t>
            </w:r>
            <w:r>
              <w:rPr>
                <w:rFonts w:ascii="Arial" w:eastAsia="Arial" w:hAnsi="Arial" w:cs="Arial"/>
                <w:b/>
                <w:color w:val="000000"/>
                <w:sz w:val="24"/>
                <w:szCs w:val="24"/>
              </w:rPr>
              <w:t>“RO”</w:t>
            </w:r>
            <w:r>
              <w:rPr>
                <w:rFonts w:ascii="Arial" w:eastAsia="Arial" w:hAnsi="Arial" w:cs="Arial"/>
                <w:color w:val="000000"/>
                <w:sz w:val="24"/>
                <w:szCs w:val="24"/>
              </w:rPr>
              <w:t xml:space="preserve"> </w:t>
            </w:r>
          </w:p>
        </w:tc>
        <w:tc>
          <w:tcPr>
            <w:tcW w:w="5400" w:type="dxa"/>
            <w:shd w:val="clear" w:color="auto" w:fill="auto"/>
            <w:tcMar>
              <w:top w:w="100" w:type="dxa"/>
              <w:left w:w="100" w:type="dxa"/>
              <w:bottom w:w="100" w:type="dxa"/>
              <w:right w:w="100" w:type="dxa"/>
            </w:tcMar>
          </w:tcPr>
          <w:p w:rsidR="00FF0DAA" w:rsidRDefault="0029045F">
            <w:pPr>
              <w:rPr>
                <w:rFonts w:ascii="Arial" w:eastAsia="Arial" w:hAnsi="Arial" w:cs="Arial"/>
                <w:color w:val="000000"/>
              </w:rPr>
            </w:pPr>
            <w:r>
              <w:rPr>
                <w:rFonts w:ascii="Arial" w:eastAsia="Arial" w:hAnsi="Arial" w:cs="Arial"/>
                <w:color w:val="000000"/>
                <w:sz w:val="24"/>
                <w:szCs w:val="24"/>
              </w:rPr>
              <w:t>means the administrative and technical operator of the policies, processes and systems required to manage and operate the relevant DNS namespace; The Supplier is the Registry Operator;</w:t>
            </w:r>
          </w:p>
        </w:tc>
      </w:tr>
      <w:tr w:rsidR="00FF0DAA">
        <w:tc>
          <w:tcPr>
            <w:tcW w:w="3600" w:type="dxa"/>
            <w:shd w:val="clear" w:color="auto" w:fill="auto"/>
            <w:tcMar>
              <w:top w:w="100" w:type="dxa"/>
              <w:left w:w="100" w:type="dxa"/>
              <w:bottom w:w="100" w:type="dxa"/>
              <w:right w:w="100" w:type="dxa"/>
            </w:tcMar>
          </w:tcPr>
          <w:p w:rsidR="00FF0DAA" w:rsidRDefault="0029045F">
            <w:pPr>
              <w:rPr>
                <w:rFonts w:ascii="Arial" w:eastAsia="Arial" w:hAnsi="Arial" w:cs="Arial"/>
                <w:color w:val="000000"/>
              </w:rPr>
            </w:pPr>
            <w:r>
              <w:rPr>
                <w:rFonts w:ascii="Arial" w:eastAsia="Arial" w:hAnsi="Arial" w:cs="Arial"/>
                <w:b/>
                <w:color w:val="000000"/>
                <w:sz w:val="24"/>
                <w:szCs w:val="24"/>
              </w:rPr>
              <w:t>“Registry Operator Personnel”</w:t>
            </w:r>
            <w:r>
              <w:rPr>
                <w:rFonts w:ascii="Arial" w:eastAsia="Arial" w:hAnsi="Arial" w:cs="Arial"/>
                <w:color w:val="000000"/>
                <w:sz w:val="24"/>
                <w:szCs w:val="24"/>
              </w:rPr>
              <w:t xml:space="preserve"> </w:t>
            </w:r>
          </w:p>
        </w:tc>
        <w:tc>
          <w:tcPr>
            <w:tcW w:w="5400" w:type="dxa"/>
            <w:shd w:val="clear" w:color="auto" w:fill="auto"/>
            <w:tcMar>
              <w:top w:w="100" w:type="dxa"/>
              <w:left w:w="100" w:type="dxa"/>
              <w:bottom w:w="100" w:type="dxa"/>
              <w:right w:w="100" w:type="dxa"/>
            </w:tcMar>
          </w:tcPr>
          <w:p w:rsidR="00FF0DAA" w:rsidRDefault="0029045F">
            <w:pPr>
              <w:rPr>
                <w:rFonts w:ascii="Arial" w:eastAsia="Arial" w:hAnsi="Arial" w:cs="Arial"/>
                <w:color w:val="000000"/>
              </w:rPr>
            </w:pPr>
            <w:r>
              <w:rPr>
                <w:rFonts w:ascii="Arial" w:eastAsia="Arial" w:hAnsi="Arial" w:cs="Arial"/>
                <w:color w:val="000000"/>
                <w:sz w:val="24"/>
                <w:szCs w:val="24"/>
              </w:rPr>
              <w:t>means all persons employed or engaged by The Supplier together with their servants, agents, Registry Operators, consultants and Subcontractors (and all persons employed by any Subcontractor together with the subcontractor’s s</w:t>
            </w:r>
            <w:r>
              <w:rPr>
                <w:rFonts w:ascii="Arial" w:eastAsia="Arial" w:hAnsi="Arial" w:cs="Arial"/>
                <w:color w:val="000000"/>
                <w:sz w:val="24"/>
                <w:szCs w:val="24"/>
              </w:rPr>
              <w:t>ervants, consultants, agents, Registry Operators and Subcontractors) used in the performance of The Supplier’s obligations under this Call-Off Contract.</w:t>
            </w:r>
          </w:p>
        </w:tc>
      </w:tr>
      <w:tr w:rsidR="00FF0DAA">
        <w:tc>
          <w:tcPr>
            <w:tcW w:w="3600" w:type="dxa"/>
            <w:shd w:val="clear" w:color="auto" w:fill="auto"/>
            <w:tcMar>
              <w:top w:w="100" w:type="dxa"/>
              <w:left w:w="100" w:type="dxa"/>
              <w:bottom w:w="100" w:type="dxa"/>
              <w:right w:w="100" w:type="dxa"/>
            </w:tcMar>
          </w:tcPr>
          <w:p w:rsidR="00FF0DAA" w:rsidRDefault="0029045F">
            <w:pPr>
              <w:tabs>
                <w:tab w:val="left" w:pos="1145"/>
              </w:tabs>
              <w:rPr>
                <w:rFonts w:ascii="Arial" w:eastAsia="Arial" w:hAnsi="Arial" w:cs="Arial"/>
                <w:color w:val="000000"/>
              </w:rPr>
            </w:pPr>
            <w:r>
              <w:rPr>
                <w:rFonts w:ascii="Arial" w:eastAsia="Arial" w:hAnsi="Arial" w:cs="Arial"/>
                <w:b/>
                <w:color w:val="000000"/>
                <w:sz w:val="24"/>
                <w:szCs w:val="24"/>
              </w:rPr>
              <w:lastRenderedPageBreak/>
              <w:t>“RFC”</w:t>
            </w:r>
            <w:r>
              <w:rPr>
                <w:rFonts w:ascii="Arial" w:eastAsia="Arial" w:hAnsi="Arial" w:cs="Arial"/>
                <w:color w:val="000000"/>
                <w:sz w:val="24"/>
                <w:szCs w:val="24"/>
              </w:rPr>
              <w:t xml:space="preserve"> </w:t>
            </w:r>
          </w:p>
        </w:tc>
        <w:tc>
          <w:tcPr>
            <w:tcW w:w="5400" w:type="dxa"/>
            <w:shd w:val="clear" w:color="auto" w:fill="auto"/>
            <w:tcMar>
              <w:top w:w="100" w:type="dxa"/>
              <w:left w:w="100" w:type="dxa"/>
              <w:bottom w:w="100" w:type="dxa"/>
              <w:right w:w="100" w:type="dxa"/>
            </w:tcMar>
          </w:tcPr>
          <w:p w:rsidR="00FF0DAA" w:rsidRDefault="0029045F">
            <w:pPr>
              <w:tabs>
                <w:tab w:val="left" w:pos="1145"/>
              </w:tabs>
              <w:rPr>
                <w:rFonts w:ascii="Arial" w:eastAsia="Arial" w:hAnsi="Arial" w:cs="Arial"/>
                <w:color w:val="000000"/>
              </w:rPr>
            </w:pPr>
            <w:r>
              <w:rPr>
                <w:rFonts w:ascii="Arial" w:eastAsia="Arial" w:hAnsi="Arial" w:cs="Arial"/>
                <w:color w:val="000000"/>
                <w:sz w:val="24"/>
                <w:szCs w:val="24"/>
              </w:rPr>
              <w:t>means Request for Comments, published by the IETF and other bodies, that describe proposals and</w:t>
            </w:r>
            <w:r>
              <w:rPr>
                <w:rFonts w:ascii="Arial" w:eastAsia="Arial" w:hAnsi="Arial" w:cs="Arial"/>
                <w:color w:val="000000"/>
                <w:sz w:val="24"/>
                <w:szCs w:val="24"/>
              </w:rPr>
              <w:t xml:space="preserve"> standards on the operation of the Internet.</w:t>
            </w:r>
          </w:p>
        </w:tc>
      </w:tr>
      <w:tr w:rsidR="00FF0DAA">
        <w:tc>
          <w:tcPr>
            <w:tcW w:w="3600" w:type="dxa"/>
            <w:shd w:val="clear" w:color="auto" w:fill="auto"/>
            <w:tcMar>
              <w:top w:w="100" w:type="dxa"/>
              <w:left w:w="100" w:type="dxa"/>
              <w:bottom w:w="100" w:type="dxa"/>
              <w:right w:w="100" w:type="dxa"/>
            </w:tcMar>
          </w:tcPr>
          <w:p w:rsidR="00FF0DAA" w:rsidRDefault="0029045F">
            <w:pPr>
              <w:rPr>
                <w:rFonts w:ascii="Arial" w:eastAsia="Arial" w:hAnsi="Arial" w:cs="Arial"/>
                <w:b/>
                <w:color w:val="000000"/>
                <w:sz w:val="24"/>
                <w:szCs w:val="24"/>
              </w:rPr>
            </w:pPr>
            <w:r>
              <w:rPr>
                <w:rFonts w:ascii="Arial" w:eastAsia="Arial" w:hAnsi="Arial" w:cs="Arial"/>
                <w:b/>
                <w:color w:val="000000"/>
                <w:sz w:val="24"/>
                <w:szCs w:val="24"/>
              </w:rPr>
              <w:t>“</w:t>
            </w:r>
            <w:proofErr w:type="gramStart"/>
            <w:r>
              <w:rPr>
                <w:rFonts w:ascii="Arial" w:eastAsia="Arial" w:hAnsi="Arial" w:cs="Arial"/>
                <w:b/>
                <w:color w:val="000000"/>
                <w:sz w:val="24"/>
                <w:szCs w:val="24"/>
              </w:rPr>
              <w:t>Resilient .</w:t>
            </w:r>
            <w:proofErr w:type="gramEnd"/>
            <w:r>
              <w:rPr>
                <w:rFonts w:ascii="Arial" w:eastAsia="Arial" w:hAnsi="Arial" w:cs="Arial"/>
                <w:b/>
                <w:color w:val="000000"/>
                <w:sz w:val="24"/>
                <w:szCs w:val="24"/>
              </w:rPr>
              <w:t>gov.uk Registry Services”</w:t>
            </w:r>
          </w:p>
        </w:tc>
        <w:tc>
          <w:tcPr>
            <w:tcW w:w="5400" w:type="dxa"/>
            <w:shd w:val="clear" w:color="auto" w:fill="auto"/>
            <w:tcMar>
              <w:top w:w="100" w:type="dxa"/>
              <w:left w:w="100" w:type="dxa"/>
              <w:bottom w:w="100" w:type="dxa"/>
              <w:right w:w="100" w:type="dxa"/>
            </w:tcMar>
          </w:tcPr>
          <w:p w:rsidR="00FF0DAA" w:rsidRDefault="0029045F">
            <w:pPr>
              <w:rPr>
                <w:rFonts w:ascii="Arial" w:eastAsia="Arial" w:hAnsi="Arial" w:cs="Arial"/>
                <w:color w:val="000000"/>
                <w:sz w:val="24"/>
                <w:szCs w:val="24"/>
              </w:rPr>
            </w:pPr>
            <w:r>
              <w:rPr>
                <w:rFonts w:ascii="Arial" w:eastAsia="Arial" w:hAnsi="Arial" w:cs="Arial"/>
                <w:color w:val="000000"/>
                <w:sz w:val="24"/>
                <w:szCs w:val="24"/>
              </w:rPr>
              <w:t xml:space="preserve">means the services collectively delivered via this RM6116 Call-Off Contract, principally defined in this Schedule 20 and referenced schedules.  </w:t>
            </w:r>
          </w:p>
        </w:tc>
      </w:tr>
      <w:tr w:rsidR="00FF0DAA">
        <w:tc>
          <w:tcPr>
            <w:tcW w:w="3600" w:type="dxa"/>
            <w:shd w:val="clear" w:color="auto" w:fill="auto"/>
            <w:tcMar>
              <w:top w:w="100" w:type="dxa"/>
              <w:left w:w="100" w:type="dxa"/>
              <w:bottom w:w="100" w:type="dxa"/>
              <w:right w:w="100" w:type="dxa"/>
            </w:tcMar>
          </w:tcPr>
          <w:p w:rsidR="00FF0DAA" w:rsidRDefault="0029045F">
            <w:pPr>
              <w:rPr>
                <w:rFonts w:ascii="Arial" w:eastAsia="Arial" w:hAnsi="Arial" w:cs="Arial"/>
                <w:color w:val="000000"/>
              </w:rPr>
            </w:pPr>
            <w:r>
              <w:rPr>
                <w:rFonts w:ascii="Arial" w:eastAsia="Arial" w:hAnsi="Arial" w:cs="Arial"/>
                <w:b/>
                <w:color w:val="000000"/>
                <w:sz w:val="24"/>
                <w:szCs w:val="24"/>
              </w:rPr>
              <w:t>“Service Level Agreement” “SLA”</w:t>
            </w:r>
            <w:r>
              <w:rPr>
                <w:rFonts w:ascii="Arial" w:eastAsia="Arial" w:hAnsi="Arial" w:cs="Arial"/>
                <w:color w:val="000000"/>
                <w:sz w:val="24"/>
                <w:szCs w:val="24"/>
              </w:rPr>
              <w:t xml:space="preserve"> </w:t>
            </w:r>
          </w:p>
        </w:tc>
        <w:tc>
          <w:tcPr>
            <w:tcW w:w="5400" w:type="dxa"/>
            <w:shd w:val="clear" w:color="auto" w:fill="auto"/>
            <w:tcMar>
              <w:top w:w="100" w:type="dxa"/>
              <w:left w:w="100" w:type="dxa"/>
              <w:bottom w:w="100" w:type="dxa"/>
              <w:right w:w="100" w:type="dxa"/>
            </w:tcMar>
          </w:tcPr>
          <w:p w:rsidR="00FF0DAA" w:rsidRDefault="0029045F">
            <w:pPr>
              <w:rPr>
                <w:rFonts w:ascii="Arial" w:eastAsia="Arial" w:hAnsi="Arial" w:cs="Arial"/>
                <w:color w:val="000000"/>
              </w:rPr>
            </w:pPr>
            <w:r>
              <w:rPr>
                <w:rFonts w:ascii="Arial" w:eastAsia="Arial" w:hAnsi="Arial" w:cs="Arial"/>
                <w:color w:val="000000"/>
                <w:sz w:val="24"/>
                <w:szCs w:val="24"/>
              </w:rPr>
              <w:t>means the contractual agreement to meet all Service Targets.</w:t>
            </w:r>
          </w:p>
        </w:tc>
      </w:tr>
      <w:tr w:rsidR="00FF0DAA">
        <w:tc>
          <w:tcPr>
            <w:tcW w:w="3600" w:type="dxa"/>
            <w:shd w:val="clear" w:color="auto" w:fill="auto"/>
            <w:tcMar>
              <w:top w:w="100" w:type="dxa"/>
              <w:left w:w="100" w:type="dxa"/>
              <w:bottom w:w="100" w:type="dxa"/>
              <w:right w:w="100" w:type="dxa"/>
            </w:tcMar>
          </w:tcPr>
          <w:p w:rsidR="00FF0DAA" w:rsidRDefault="0029045F">
            <w:pPr>
              <w:rPr>
                <w:rFonts w:ascii="Arial" w:eastAsia="Arial" w:hAnsi="Arial" w:cs="Arial"/>
                <w:color w:val="000000"/>
              </w:rPr>
            </w:pPr>
            <w:r>
              <w:rPr>
                <w:rFonts w:ascii="Arial" w:eastAsia="Arial" w:hAnsi="Arial" w:cs="Arial"/>
                <w:b/>
                <w:color w:val="000000"/>
                <w:sz w:val="24"/>
                <w:szCs w:val="24"/>
              </w:rPr>
              <w:t xml:space="preserve">“Service Level Threshold” </w:t>
            </w:r>
          </w:p>
        </w:tc>
        <w:tc>
          <w:tcPr>
            <w:tcW w:w="5400" w:type="dxa"/>
            <w:shd w:val="clear" w:color="auto" w:fill="auto"/>
            <w:tcMar>
              <w:top w:w="100" w:type="dxa"/>
              <w:left w:w="100" w:type="dxa"/>
              <w:bottom w:w="100" w:type="dxa"/>
              <w:right w:w="100" w:type="dxa"/>
            </w:tcMar>
          </w:tcPr>
          <w:p w:rsidR="00FF0DAA" w:rsidRDefault="0029045F">
            <w:pPr>
              <w:rPr>
                <w:rFonts w:ascii="Arial" w:eastAsia="Arial" w:hAnsi="Arial" w:cs="Arial"/>
                <w:color w:val="000000"/>
              </w:rPr>
            </w:pPr>
            <w:r>
              <w:rPr>
                <w:rFonts w:ascii="Arial" w:eastAsia="Arial" w:hAnsi="Arial" w:cs="Arial"/>
                <w:color w:val="000000"/>
                <w:sz w:val="24"/>
                <w:szCs w:val="24"/>
              </w:rPr>
              <w:t>means the acceptable level of performance for a Service Level Performance Criterion.</w:t>
            </w:r>
          </w:p>
        </w:tc>
      </w:tr>
      <w:tr w:rsidR="00FF0DAA">
        <w:tc>
          <w:tcPr>
            <w:tcW w:w="3600" w:type="dxa"/>
            <w:shd w:val="clear" w:color="auto" w:fill="auto"/>
            <w:tcMar>
              <w:top w:w="100" w:type="dxa"/>
              <w:left w:w="100" w:type="dxa"/>
              <w:bottom w:w="100" w:type="dxa"/>
              <w:right w:w="100" w:type="dxa"/>
            </w:tcMar>
          </w:tcPr>
          <w:p w:rsidR="00FF0DAA" w:rsidRDefault="0029045F">
            <w:pPr>
              <w:rPr>
                <w:rFonts w:ascii="Arial" w:eastAsia="Arial" w:hAnsi="Arial" w:cs="Arial"/>
                <w:color w:val="000000"/>
              </w:rPr>
            </w:pPr>
            <w:r>
              <w:rPr>
                <w:rFonts w:ascii="Arial" w:eastAsia="Arial" w:hAnsi="Arial" w:cs="Arial"/>
                <w:b/>
                <w:color w:val="000000"/>
                <w:sz w:val="24"/>
                <w:szCs w:val="24"/>
              </w:rPr>
              <w:t>“Widely-Impacting Change”</w:t>
            </w:r>
            <w:r>
              <w:rPr>
                <w:rFonts w:ascii="Arial" w:eastAsia="Arial" w:hAnsi="Arial" w:cs="Arial"/>
                <w:color w:val="000000"/>
                <w:sz w:val="24"/>
                <w:szCs w:val="24"/>
              </w:rPr>
              <w:t xml:space="preserve"> </w:t>
            </w:r>
          </w:p>
        </w:tc>
        <w:tc>
          <w:tcPr>
            <w:tcW w:w="5400" w:type="dxa"/>
            <w:shd w:val="clear" w:color="auto" w:fill="auto"/>
            <w:tcMar>
              <w:top w:w="100" w:type="dxa"/>
              <w:left w:w="100" w:type="dxa"/>
              <w:bottom w:w="100" w:type="dxa"/>
              <w:right w:w="100" w:type="dxa"/>
            </w:tcMar>
          </w:tcPr>
          <w:p w:rsidR="00FF0DAA" w:rsidRDefault="0029045F">
            <w:pPr>
              <w:rPr>
                <w:rFonts w:ascii="Arial" w:eastAsia="Arial" w:hAnsi="Arial" w:cs="Arial"/>
                <w:color w:val="000000"/>
              </w:rPr>
            </w:pPr>
            <w:r>
              <w:rPr>
                <w:rFonts w:ascii="Arial" w:eastAsia="Arial" w:hAnsi="Arial" w:cs="Arial"/>
                <w:color w:val="000000"/>
                <w:sz w:val="24"/>
                <w:szCs w:val="24"/>
              </w:rPr>
              <w:t>means a change to Reg</w:t>
            </w:r>
            <w:r>
              <w:rPr>
                <w:rFonts w:ascii="Arial" w:eastAsia="Arial" w:hAnsi="Arial" w:cs="Arial"/>
                <w:color w:val="000000"/>
                <w:sz w:val="24"/>
                <w:szCs w:val="24"/>
              </w:rPr>
              <w:t>istry Data that affects how the DNS responds for many Registrants.</w:t>
            </w:r>
          </w:p>
        </w:tc>
      </w:tr>
      <w:tr w:rsidR="00FF0DAA">
        <w:tc>
          <w:tcPr>
            <w:tcW w:w="3600" w:type="dxa"/>
            <w:shd w:val="clear" w:color="auto" w:fill="auto"/>
            <w:tcMar>
              <w:top w:w="100" w:type="dxa"/>
              <w:left w:w="100" w:type="dxa"/>
              <w:bottom w:w="100" w:type="dxa"/>
              <w:right w:w="100" w:type="dxa"/>
            </w:tcMar>
          </w:tcPr>
          <w:p w:rsidR="00FF0DAA" w:rsidRDefault="0029045F">
            <w:pPr>
              <w:rPr>
                <w:rFonts w:ascii="Arial" w:eastAsia="Arial" w:hAnsi="Arial" w:cs="Arial"/>
                <w:color w:val="000000"/>
              </w:rPr>
            </w:pPr>
            <w:r>
              <w:rPr>
                <w:rFonts w:ascii="Arial" w:eastAsia="Arial" w:hAnsi="Arial" w:cs="Arial"/>
                <w:b/>
                <w:color w:val="000000"/>
                <w:sz w:val="24"/>
                <w:szCs w:val="24"/>
              </w:rPr>
              <w:t>“</w:t>
            </w:r>
            <w:proofErr w:type="gramStart"/>
            <w:r>
              <w:rPr>
                <w:rFonts w:ascii="Arial" w:eastAsia="Arial" w:hAnsi="Arial" w:cs="Arial"/>
                <w:b/>
                <w:color w:val="000000"/>
                <w:sz w:val="24"/>
                <w:szCs w:val="24"/>
              </w:rPr>
              <w:t>Working  Day</w:t>
            </w:r>
            <w:proofErr w:type="gramEnd"/>
            <w:r>
              <w:rPr>
                <w:rFonts w:ascii="Arial" w:eastAsia="Arial" w:hAnsi="Arial" w:cs="Arial"/>
                <w:b/>
                <w:color w:val="000000"/>
                <w:sz w:val="24"/>
                <w:szCs w:val="24"/>
              </w:rPr>
              <w:t>”</w:t>
            </w:r>
            <w:r>
              <w:rPr>
                <w:rFonts w:ascii="Arial" w:eastAsia="Arial" w:hAnsi="Arial" w:cs="Arial"/>
                <w:color w:val="000000"/>
                <w:sz w:val="24"/>
                <w:szCs w:val="24"/>
              </w:rPr>
              <w:t xml:space="preserve"> </w:t>
            </w:r>
          </w:p>
        </w:tc>
        <w:tc>
          <w:tcPr>
            <w:tcW w:w="5400" w:type="dxa"/>
            <w:shd w:val="clear" w:color="auto" w:fill="auto"/>
            <w:tcMar>
              <w:top w:w="100" w:type="dxa"/>
              <w:left w:w="100" w:type="dxa"/>
              <w:bottom w:w="100" w:type="dxa"/>
              <w:right w:w="100" w:type="dxa"/>
            </w:tcMar>
          </w:tcPr>
          <w:p w:rsidR="00FF0DAA" w:rsidRDefault="0029045F">
            <w:pPr>
              <w:rPr>
                <w:rFonts w:ascii="Arial" w:eastAsia="Arial" w:hAnsi="Arial" w:cs="Arial"/>
                <w:color w:val="000000"/>
              </w:rPr>
            </w:pPr>
            <w:r>
              <w:rPr>
                <w:rFonts w:ascii="Arial" w:eastAsia="Arial" w:hAnsi="Arial" w:cs="Arial"/>
                <w:color w:val="000000"/>
                <w:sz w:val="24"/>
                <w:szCs w:val="24"/>
              </w:rPr>
              <w:t>means any day other than a Saturday, a Sunday, Christmas Day, Good Friday or a day which is a bank holiday in any part of the United Kingdom.</w:t>
            </w:r>
          </w:p>
        </w:tc>
      </w:tr>
    </w:tbl>
    <w:p w:rsidR="00FF0DAA" w:rsidRDefault="00FF0DAA"/>
    <w:p w:rsidR="00FF0DAA" w:rsidRDefault="00FF0DAA"/>
    <w:p w:rsidR="00FF0DAA" w:rsidRDefault="0029045F">
      <w:pPr>
        <w:pStyle w:val="Heading1"/>
        <w:numPr>
          <w:ilvl w:val="0"/>
          <w:numId w:val="6"/>
        </w:numPr>
      </w:pPr>
      <w:bookmarkStart w:id="7" w:name="_heading=h.3dy6vkm" w:colFirst="0" w:colLast="0"/>
      <w:bookmarkEnd w:id="7"/>
      <w:r>
        <w:t>Critical Registry Functions</w:t>
      </w:r>
    </w:p>
    <w:p w:rsidR="00FF0DAA" w:rsidRDefault="0029045F">
      <w:pPr>
        <w:pStyle w:val="Heading2"/>
        <w:numPr>
          <w:ilvl w:val="1"/>
          <w:numId w:val="6"/>
        </w:numPr>
      </w:pPr>
      <w:bookmarkStart w:id="8" w:name="_heading=h.1t3h5sf" w:colFirst="0" w:colLast="0"/>
      <w:bookmarkEnd w:id="8"/>
      <w:r>
        <w:t>DNS resolution</w:t>
      </w:r>
    </w:p>
    <w:p w:rsidR="00FF0DAA" w:rsidRDefault="0029045F">
      <w:pPr>
        <w:numPr>
          <w:ilvl w:val="2"/>
          <w:numId w:val="6"/>
        </w:numPr>
      </w:pPr>
      <w:r>
        <w:rPr>
          <w:sz w:val="24"/>
          <w:szCs w:val="24"/>
        </w:rPr>
        <w:t xml:space="preserve">The Supplier shall provide authoritative nameservers for </w:t>
      </w:r>
      <w:proofErr w:type="gramStart"/>
      <w:r>
        <w:rPr>
          <w:sz w:val="24"/>
          <w:szCs w:val="24"/>
        </w:rPr>
        <w:t>the .</w:t>
      </w:r>
      <w:proofErr w:type="gramEnd"/>
      <w:r>
        <w:rPr>
          <w:sz w:val="24"/>
          <w:szCs w:val="24"/>
        </w:rPr>
        <w:t xml:space="preserve">gov.uk second-level domain, as well as all .gov.uk subdomains managed in the Registry. </w:t>
      </w:r>
      <w:r>
        <w:rPr>
          <w:sz w:val="24"/>
          <w:szCs w:val="24"/>
        </w:rPr>
        <w:br/>
      </w:r>
    </w:p>
    <w:p w:rsidR="00FF0DAA" w:rsidRDefault="0029045F">
      <w:pPr>
        <w:numPr>
          <w:ilvl w:val="2"/>
          <w:numId w:val="6"/>
        </w:numPr>
      </w:pPr>
      <w:r>
        <w:rPr>
          <w:sz w:val="24"/>
          <w:szCs w:val="24"/>
        </w:rPr>
        <w:t xml:space="preserve">The Supplier shall comply with relevant existing RFCs and those published in the future by the IETF and adopted by ICANN, including all successor standards, modifications or additions thereto relating to the DNS and nameserver operations including without </w:t>
      </w:r>
      <w:r>
        <w:rPr>
          <w:sz w:val="24"/>
          <w:szCs w:val="24"/>
        </w:rPr>
        <w:t>limitation:</w:t>
      </w:r>
      <w:r>
        <w:rPr>
          <w:sz w:val="24"/>
          <w:szCs w:val="24"/>
        </w:rPr>
        <w:br/>
      </w:r>
    </w:p>
    <w:p w:rsidR="00FF0DAA" w:rsidRDefault="0029045F">
      <w:pPr>
        <w:numPr>
          <w:ilvl w:val="3"/>
          <w:numId w:val="4"/>
        </w:numPr>
        <w:pBdr>
          <w:top w:val="nil"/>
          <w:left w:val="nil"/>
          <w:bottom w:val="nil"/>
          <w:right w:val="nil"/>
          <w:between w:val="nil"/>
        </w:pBdr>
      </w:pPr>
      <w:hyperlink r:id="rId21">
        <w:r>
          <w:rPr>
            <w:color w:val="1155CC"/>
            <w:sz w:val="24"/>
            <w:szCs w:val="24"/>
            <w:u w:val="single"/>
          </w:rPr>
          <w:t>RFC 1034</w:t>
        </w:r>
      </w:hyperlink>
      <w:r>
        <w:rPr>
          <w:sz w:val="24"/>
          <w:szCs w:val="24"/>
        </w:rPr>
        <w:t xml:space="preserve"> – Domain names – concepts and facilities (part of STD 13);</w:t>
      </w:r>
    </w:p>
    <w:p w:rsidR="00FF0DAA" w:rsidRDefault="0029045F">
      <w:pPr>
        <w:numPr>
          <w:ilvl w:val="3"/>
          <w:numId w:val="4"/>
        </w:numPr>
        <w:pBdr>
          <w:top w:val="nil"/>
          <w:left w:val="nil"/>
          <w:bottom w:val="nil"/>
          <w:right w:val="nil"/>
          <w:between w:val="nil"/>
        </w:pBdr>
      </w:pPr>
      <w:hyperlink r:id="rId22">
        <w:r>
          <w:rPr>
            <w:color w:val="1155CC"/>
            <w:sz w:val="24"/>
            <w:szCs w:val="24"/>
            <w:u w:val="single"/>
          </w:rPr>
          <w:t>RFC 1035</w:t>
        </w:r>
      </w:hyperlink>
      <w:r>
        <w:rPr>
          <w:sz w:val="24"/>
          <w:szCs w:val="24"/>
        </w:rPr>
        <w:t xml:space="preserve"> – Domain names – implementation and specification (part of STD 13);</w:t>
      </w:r>
    </w:p>
    <w:p w:rsidR="00FF0DAA" w:rsidRDefault="0029045F">
      <w:pPr>
        <w:numPr>
          <w:ilvl w:val="3"/>
          <w:numId w:val="4"/>
        </w:numPr>
        <w:pBdr>
          <w:top w:val="nil"/>
          <w:left w:val="nil"/>
          <w:bottom w:val="nil"/>
          <w:right w:val="nil"/>
          <w:between w:val="nil"/>
        </w:pBdr>
      </w:pPr>
      <w:hyperlink r:id="rId23">
        <w:r>
          <w:rPr>
            <w:color w:val="1155CC"/>
            <w:sz w:val="24"/>
            <w:szCs w:val="24"/>
            <w:u w:val="single"/>
          </w:rPr>
          <w:t>RFC 1123</w:t>
        </w:r>
      </w:hyperlink>
      <w:r>
        <w:rPr>
          <w:sz w:val="24"/>
          <w:szCs w:val="24"/>
        </w:rPr>
        <w:t xml:space="preserve"> – Requirements for Internet Hosts – Application and Support (part of STD 3);</w:t>
      </w:r>
    </w:p>
    <w:p w:rsidR="00FF0DAA" w:rsidRDefault="0029045F">
      <w:pPr>
        <w:numPr>
          <w:ilvl w:val="3"/>
          <w:numId w:val="4"/>
        </w:numPr>
        <w:pBdr>
          <w:top w:val="nil"/>
          <w:left w:val="nil"/>
          <w:bottom w:val="nil"/>
          <w:right w:val="nil"/>
          <w:between w:val="nil"/>
        </w:pBdr>
      </w:pPr>
      <w:hyperlink r:id="rId24">
        <w:r>
          <w:rPr>
            <w:color w:val="1155CC"/>
            <w:sz w:val="24"/>
            <w:szCs w:val="24"/>
            <w:u w:val="single"/>
          </w:rPr>
          <w:t>RFC 1982</w:t>
        </w:r>
      </w:hyperlink>
      <w:r>
        <w:rPr>
          <w:sz w:val="24"/>
          <w:szCs w:val="24"/>
        </w:rPr>
        <w:t xml:space="preserve"> – Serial Number Arithmetic;</w:t>
      </w:r>
    </w:p>
    <w:p w:rsidR="00FF0DAA" w:rsidRDefault="0029045F">
      <w:pPr>
        <w:numPr>
          <w:ilvl w:val="3"/>
          <w:numId w:val="4"/>
        </w:numPr>
        <w:pBdr>
          <w:top w:val="nil"/>
          <w:left w:val="nil"/>
          <w:bottom w:val="nil"/>
          <w:right w:val="nil"/>
          <w:between w:val="nil"/>
        </w:pBdr>
      </w:pPr>
      <w:hyperlink r:id="rId25">
        <w:r>
          <w:rPr>
            <w:color w:val="1155CC"/>
            <w:sz w:val="24"/>
            <w:szCs w:val="24"/>
            <w:u w:val="single"/>
          </w:rPr>
          <w:t>RFC 2181</w:t>
        </w:r>
      </w:hyperlink>
      <w:r>
        <w:rPr>
          <w:sz w:val="24"/>
          <w:szCs w:val="24"/>
        </w:rPr>
        <w:t xml:space="preserve"> – Clarifications to the DNS Specification;</w:t>
      </w:r>
    </w:p>
    <w:p w:rsidR="00FF0DAA" w:rsidRDefault="0029045F">
      <w:pPr>
        <w:numPr>
          <w:ilvl w:val="3"/>
          <w:numId w:val="4"/>
        </w:numPr>
        <w:pBdr>
          <w:top w:val="nil"/>
          <w:left w:val="nil"/>
          <w:bottom w:val="nil"/>
          <w:right w:val="nil"/>
          <w:between w:val="nil"/>
        </w:pBdr>
      </w:pPr>
      <w:hyperlink r:id="rId26">
        <w:r>
          <w:rPr>
            <w:color w:val="1155CC"/>
            <w:sz w:val="24"/>
            <w:szCs w:val="24"/>
            <w:u w:val="single"/>
          </w:rPr>
          <w:t>RFC 2182</w:t>
        </w:r>
      </w:hyperlink>
      <w:r>
        <w:rPr>
          <w:sz w:val="24"/>
          <w:szCs w:val="24"/>
        </w:rPr>
        <w:t xml:space="preserve"> – Sele</w:t>
      </w:r>
      <w:r>
        <w:rPr>
          <w:sz w:val="24"/>
          <w:szCs w:val="24"/>
        </w:rPr>
        <w:t>ction and Operation of Secondary DNS Servers (BCP 16);</w:t>
      </w:r>
    </w:p>
    <w:p w:rsidR="00FF0DAA" w:rsidRDefault="0029045F">
      <w:pPr>
        <w:numPr>
          <w:ilvl w:val="3"/>
          <w:numId w:val="4"/>
        </w:numPr>
        <w:pBdr>
          <w:top w:val="nil"/>
          <w:left w:val="nil"/>
          <w:bottom w:val="nil"/>
          <w:right w:val="nil"/>
          <w:between w:val="nil"/>
        </w:pBdr>
      </w:pPr>
      <w:hyperlink r:id="rId27">
        <w:r>
          <w:rPr>
            <w:color w:val="1155CC"/>
            <w:sz w:val="24"/>
            <w:szCs w:val="24"/>
            <w:u w:val="single"/>
          </w:rPr>
          <w:t>RFC 3226</w:t>
        </w:r>
      </w:hyperlink>
      <w:r>
        <w:rPr>
          <w:sz w:val="24"/>
          <w:szCs w:val="24"/>
        </w:rPr>
        <w:t xml:space="preserve"> – DNSSEC and IPv6 A6-aware server / resolver message size requirements;</w:t>
      </w:r>
    </w:p>
    <w:p w:rsidR="00FF0DAA" w:rsidRDefault="0029045F">
      <w:pPr>
        <w:numPr>
          <w:ilvl w:val="3"/>
          <w:numId w:val="4"/>
        </w:numPr>
        <w:pBdr>
          <w:top w:val="nil"/>
          <w:left w:val="nil"/>
          <w:bottom w:val="nil"/>
          <w:right w:val="nil"/>
          <w:between w:val="nil"/>
        </w:pBdr>
      </w:pPr>
      <w:hyperlink r:id="rId28">
        <w:r>
          <w:rPr>
            <w:color w:val="1155CC"/>
            <w:sz w:val="24"/>
            <w:szCs w:val="24"/>
            <w:u w:val="single"/>
          </w:rPr>
          <w:t>RFC 3596</w:t>
        </w:r>
      </w:hyperlink>
      <w:r>
        <w:rPr>
          <w:sz w:val="24"/>
          <w:szCs w:val="24"/>
        </w:rPr>
        <w:t xml:space="preserve"> – DNS Extensions to Support IP Version 6 (STD 88);</w:t>
      </w:r>
    </w:p>
    <w:p w:rsidR="00FF0DAA" w:rsidRDefault="0029045F">
      <w:pPr>
        <w:numPr>
          <w:ilvl w:val="3"/>
          <w:numId w:val="4"/>
        </w:numPr>
        <w:pBdr>
          <w:top w:val="nil"/>
          <w:left w:val="nil"/>
          <w:bottom w:val="nil"/>
          <w:right w:val="nil"/>
          <w:between w:val="nil"/>
        </w:pBdr>
      </w:pPr>
      <w:hyperlink r:id="rId29">
        <w:r>
          <w:rPr>
            <w:color w:val="1155CC"/>
            <w:sz w:val="24"/>
            <w:szCs w:val="24"/>
            <w:u w:val="single"/>
          </w:rPr>
          <w:t>RFC 3597</w:t>
        </w:r>
      </w:hyperlink>
      <w:r>
        <w:rPr>
          <w:sz w:val="24"/>
          <w:szCs w:val="24"/>
        </w:rPr>
        <w:t xml:space="preserve"> – Handling of Unknown DNS Resource Record (RR) Types;</w:t>
      </w:r>
    </w:p>
    <w:p w:rsidR="00FF0DAA" w:rsidRDefault="0029045F">
      <w:pPr>
        <w:numPr>
          <w:ilvl w:val="3"/>
          <w:numId w:val="4"/>
        </w:numPr>
        <w:pBdr>
          <w:top w:val="nil"/>
          <w:left w:val="nil"/>
          <w:bottom w:val="nil"/>
          <w:right w:val="nil"/>
          <w:between w:val="nil"/>
        </w:pBdr>
      </w:pPr>
      <w:hyperlink r:id="rId30">
        <w:r>
          <w:rPr>
            <w:color w:val="1155CC"/>
            <w:sz w:val="24"/>
            <w:szCs w:val="24"/>
            <w:u w:val="single"/>
          </w:rPr>
          <w:t>RFC 4343</w:t>
        </w:r>
      </w:hyperlink>
      <w:r>
        <w:rPr>
          <w:sz w:val="24"/>
          <w:szCs w:val="24"/>
        </w:rPr>
        <w:t xml:space="preserve"> – domain name System (DNS) Case Insensitivity Clarification;</w:t>
      </w:r>
    </w:p>
    <w:p w:rsidR="00FF0DAA" w:rsidRDefault="0029045F">
      <w:pPr>
        <w:numPr>
          <w:ilvl w:val="3"/>
          <w:numId w:val="4"/>
        </w:numPr>
        <w:pBdr>
          <w:top w:val="nil"/>
          <w:left w:val="nil"/>
          <w:bottom w:val="nil"/>
          <w:right w:val="nil"/>
          <w:between w:val="nil"/>
        </w:pBdr>
      </w:pPr>
      <w:hyperlink r:id="rId31">
        <w:r>
          <w:rPr>
            <w:color w:val="1155CC"/>
            <w:sz w:val="24"/>
            <w:szCs w:val="24"/>
            <w:u w:val="single"/>
          </w:rPr>
          <w:t>RFC 5966</w:t>
        </w:r>
      </w:hyperlink>
      <w:r>
        <w:rPr>
          <w:sz w:val="24"/>
          <w:szCs w:val="24"/>
        </w:rPr>
        <w:t xml:space="preserve"> – DNS Transport over TCP – Implementation Requirements</w:t>
      </w:r>
    </w:p>
    <w:p w:rsidR="00FF0DAA" w:rsidRDefault="0029045F">
      <w:pPr>
        <w:numPr>
          <w:ilvl w:val="3"/>
          <w:numId w:val="4"/>
        </w:numPr>
        <w:pBdr>
          <w:top w:val="nil"/>
          <w:left w:val="nil"/>
          <w:bottom w:val="nil"/>
          <w:right w:val="nil"/>
          <w:between w:val="nil"/>
        </w:pBdr>
        <w:spacing w:after="200"/>
        <w:sectPr w:rsidR="00FF0DAA">
          <w:headerReference w:type="default" r:id="rId32"/>
          <w:footerReference w:type="default" r:id="rId33"/>
          <w:pgSz w:w="11909" w:h="16834"/>
          <w:pgMar w:top="1440" w:right="1440" w:bottom="1440" w:left="1440" w:header="720" w:footer="720" w:gutter="0"/>
          <w:pgNumType w:start="1"/>
          <w:cols w:space="720"/>
        </w:sectPr>
      </w:pPr>
      <w:hyperlink r:id="rId34">
        <w:r>
          <w:rPr>
            <w:color w:val="1155CC"/>
            <w:sz w:val="24"/>
            <w:szCs w:val="24"/>
            <w:u w:val="single"/>
          </w:rPr>
          <w:t>RFC 6891</w:t>
        </w:r>
      </w:hyperlink>
      <w:r>
        <w:rPr>
          <w:sz w:val="24"/>
          <w:szCs w:val="24"/>
        </w:rPr>
        <w:t xml:space="preserve"> – Extension Mechanisms for DNS (</w:t>
      </w:r>
      <w:proofErr w:type="gramStart"/>
      <w:r>
        <w:rPr>
          <w:sz w:val="24"/>
          <w:szCs w:val="24"/>
        </w:rPr>
        <w:t>EDNS(</w:t>
      </w:r>
      <w:proofErr w:type="gramEnd"/>
      <w:r>
        <w:rPr>
          <w:sz w:val="24"/>
          <w:szCs w:val="24"/>
        </w:rPr>
        <w:t>0)) (STD 75).</w:t>
      </w:r>
    </w:p>
    <w:p w:rsidR="00FF0DAA" w:rsidRDefault="0029045F">
      <w:pPr>
        <w:pStyle w:val="Heading2"/>
        <w:numPr>
          <w:ilvl w:val="1"/>
          <w:numId w:val="6"/>
        </w:numPr>
      </w:pPr>
      <w:bookmarkStart w:id="10" w:name="_heading=h.4d34og8" w:colFirst="0" w:colLast="0"/>
      <w:bookmarkEnd w:id="10"/>
      <w:r>
        <w:lastRenderedPageBreak/>
        <w:t>Registry performance and availability</w:t>
      </w:r>
    </w:p>
    <w:p w:rsidR="00FF0DAA" w:rsidRDefault="0029045F">
      <w:pPr>
        <w:pStyle w:val="Heading3"/>
        <w:numPr>
          <w:ilvl w:val="2"/>
          <w:numId w:val="6"/>
        </w:numPr>
        <w:spacing w:before="200" w:after="0"/>
      </w:pPr>
      <w:bookmarkStart w:id="11" w:name="_heading=h.2s8eyo1" w:colFirst="0" w:colLast="0"/>
      <w:bookmarkEnd w:id="11"/>
      <w:r>
        <w:t>Performance and availability monitoring</w:t>
      </w:r>
      <w:r>
        <w:br/>
      </w:r>
    </w:p>
    <w:p w:rsidR="00FF0DAA" w:rsidRDefault="0029045F">
      <w:pPr>
        <w:numPr>
          <w:ilvl w:val="3"/>
          <w:numId w:val="6"/>
        </w:numPr>
        <w:rPr>
          <w:sz w:val="26"/>
          <w:szCs w:val="26"/>
        </w:rPr>
      </w:pPr>
      <w:r>
        <w:rPr>
          <w:sz w:val="24"/>
          <w:szCs w:val="24"/>
        </w:rPr>
        <w:t>The Supplier shall monitor Registry performance and availability in each of the ICANN geographic regions, namely Africa, Asia/Australia/Pacific, Europe, Latin America/ Caribbean and North America.</w:t>
      </w:r>
    </w:p>
    <w:p w:rsidR="00FF0DAA" w:rsidRDefault="00FF0DAA">
      <w:pPr>
        <w:ind w:left="2562"/>
        <w:rPr>
          <w:sz w:val="24"/>
          <w:szCs w:val="24"/>
        </w:rPr>
      </w:pPr>
    </w:p>
    <w:p w:rsidR="00FF0DAA" w:rsidRDefault="0029045F">
      <w:pPr>
        <w:numPr>
          <w:ilvl w:val="3"/>
          <w:numId w:val="6"/>
        </w:numPr>
        <w:rPr>
          <w:sz w:val="26"/>
          <w:szCs w:val="26"/>
        </w:rPr>
      </w:pPr>
      <w:r>
        <w:rPr>
          <w:sz w:val="24"/>
          <w:szCs w:val="24"/>
        </w:rPr>
        <w:t>The Supplier shall ensure that the probes are located such</w:t>
      </w:r>
      <w:r>
        <w:rPr>
          <w:sz w:val="24"/>
          <w:szCs w:val="24"/>
        </w:rPr>
        <w:t xml:space="preserve"> that they best measure the availability and response times experienced by the typical user base </w:t>
      </w:r>
      <w:proofErr w:type="gramStart"/>
      <w:r>
        <w:rPr>
          <w:sz w:val="24"/>
          <w:szCs w:val="24"/>
        </w:rPr>
        <w:t>of .</w:t>
      </w:r>
      <w:proofErr w:type="gramEnd"/>
      <w:r>
        <w:rPr>
          <w:sz w:val="24"/>
          <w:szCs w:val="24"/>
        </w:rPr>
        <w:t>gov.uk domains.</w:t>
      </w:r>
    </w:p>
    <w:p w:rsidR="00FF0DAA" w:rsidRDefault="00FF0DAA">
      <w:pPr>
        <w:ind w:left="2562"/>
        <w:rPr>
          <w:sz w:val="24"/>
          <w:szCs w:val="24"/>
        </w:rPr>
      </w:pPr>
    </w:p>
    <w:p w:rsidR="00FF0DAA" w:rsidRDefault="0029045F">
      <w:pPr>
        <w:numPr>
          <w:ilvl w:val="3"/>
          <w:numId w:val="6"/>
        </w:numPr>
        <w:rPr>
          <w:sz w:val="26"/>
          <w:szCs w:val="26"/>
        </w:rPr>
      </w:pPr>
      <w:r>
        <w:rPr>
          <w:sz w:val="24"/>
          <w:szCs w:val="24"/>
        </w:rPr>
        <w:t>The Supplier shall ensure that the minimum number of active testing probes, as specified in Specification 10 - Registry Performance Specif</w:t>
      </w:r>
      <w:r>
        <w:rPr>
          <w:sz w:val="24"/>
          <w:szCs w:val="24"/>
        </w:rPr>
        <w:t xml:space="preserve">ications of the </w:t>
      </w:r>
      <w:hyperlink r:id="rId35">
        <w:r>
          <w:rPr>
            <w:color w:val="1155CC"/>
            <w:sz w:val="24"/>
            <w:szCs w:val="24"/>
            <w:u w:val="single"/>
          </w:rPr>
          <w:t>ICANN Base Registry Agreement</w:t>
        </w:r>
      </w:hyperlink>
      <w:r>
        <w:rPr>
          <w:sz w:val="24"/>
          <w:szCs w:val="24"/>
        </w:rPr>
        <w:t xml:space="preserve"> or its successors, is exceeded at all times. </w:t>
      </w:r>
      <w:r>
        <w:rPr>
          <w:sz w:val="24"/>
          <w:szCs w:val="24"/>
        </w:rPr>
        <w:br/>
      </w:r>
    </w:p>
    <w:p w:rsidR="00FF0DAA" w:rsidRDefault="0029045F">
      <w:pPr>
        <w:numPr>
          <w:ilvl w:val="3"/>
          <w:numId w:val="6"/>
        </w:numPr>
      </w:pPr>
      <w:r>
        <w:rPr>
          <w:sz w:val="24"/>
          <w:szCs w:val="24"/>
        </w:rPr>
        <w:t>The Supplier shall gather TCP and UDP availability data and response times for all n</w:t>
      </w:r>
      <w:r>
        <w:rPr>
          <w:sz w:val="24"/>
          <w:szCs w:val="24"/>
        </w:rPr>
        <w:t>ameservers in all of the Continents. The Supplier shall retain this data for 3 years.</w:t>
      </w:r>
      <w:r>
        <w:rPr>
          <w:sz w:val="24"/>
          <w:szCs w:val="24"/>
        </w:rPr>
        <w:br/>
      </w:r>
      <w:r>
        <w:rPr>
          <w:sz w:val="24"/>
          <w:szCs w:val="24"/>
        </w:rPr>
        <w:br/>
      </w:r>
    </w:p>
    <w:p w:rsidR="00FF0DAA" w:rsidRDefault="0029045F">
      <w:pPr>
        <w:pStyle w:val="Heading3"/>
        <w:numPr>
          <w:ilvl w:val="2"/>
          <w:numId w:val="6"/>
        </w:numPr>
        <w:spacing w:before="0" w:after="0"/>
      </w:pPr>
      <w:bookmarkStart w:id="12" w:name="_heading=h.17dp8vu" w:colFirst="0" w:colLast="0"/>
      <w:bookmarkEnd w:id="12"/>
      <w:r>
        <w:t>Registry performance</w:t>
      </w:r>
      <w:r>
        <w:br/>
      </w:r>
    </w:p>
    <w:p w:rsidR="00FF0DAA" w:rsidRDefault="0029045F">
      <w:pPr>
        <w:numPr>
          <w:ilvl w:val="3"/>
          <w:numId w:val="6"/>
        </w:numPr>
      </w:pPr>
      <w:r>
        <w:rPr>
          <w:sz w:val="24"/>
          <w:szCs w:val="24"/>
        </w:rPr>
        <w:t xml:space="preserve">The Supplier shall ensure that the Registry meets the following sections of Specification 10 - Registry Performance Specifications of the </w:t>
      </w:r>
      <w:hyperlink r:id="rId36">
        <w:r>
          <w:rPr>
            <w:color w:val="1155CC"/>
            <w:sz w:val="24"/>
            <w:szCs w:val="24"/>
            <w:u w:val="single"/>
          </w:rPr>
          <w:t>ICANN Base Registry Agreement</w:t>
        </w:r>
      </w:hyperlink>
      <w:r>
        <w:rPr>
          <w:sz w:val="24"/>
          <w:szCs w:val="24"/>
        </w:rPr>
        <w:t xml:space="preserve"> or its successors:</w:t>
      </w:r>
    </w:p>
    <w:p w:rsidR="00FF0DAA" w:rsidRDefault="00FF0DAA">
      <w:pPr>
        <w:ind w:left="2562"/>
        <w:rPr>
          <w:sz w:val="24"/>
          <w:szCs w:val="24"/>
        </w:rPr>
      </w:pPr>
    </w:p>
    <w:p w:rsidR="00FF0DAA" w:rsidRDefault="0029045F">
      <w:pPr>
        <w:numPr>
          <w:ilvl w:val="0"/>
          <w:numId w:val="5"/>
        </w:numPr>
        <w:rPr>
          <w:sz w:val="24"/>
          <w:szCs w:val="24"/>
        </w:rPr>
      </w:pPr>
      <w:r>
        <w:rPr>
          <w:sz w:val="24"/>
          <w:szCs w:val="24"/>
        </w:rPr>
        <w:t>1 (Definitions)</w:t>
      </w:r>
    </w:p>
    <w:p w:rsidR="00FF0DAA" w:rsidRDefault="0029045F">
      <w:pPr>
        <w:numPr>
          <w:ilvl w:val="0"/>
          <w:numId w:val="5"/>
        </w:numPr>
        <w:rPr>
          <w:sz w:val="24"/>
          <w:szCs w:val="24"/>
        </w:rPr>
      </w:pPr>
      <w:r>
        <w:rPr>
          <w:sz w:val="24"/>
          <w:szCs w:val="24"/>
        </w:rPr>
        <w:t>2 (Service Level Agreement Matrix)</w:t>
      </w:r>
    </w:p>
    <w:p w:rsidR="00FF0DAA" w:rsidRDefault="0029045F">
      <w:pPr>
        <w:numPr>
          <w:ilvl w:val="0"/>
          <w:numId w:val="5"/>
        </w:numPr>
        <w:rPr>
          <w:sz w:val="24"/>
          <w:szCs w:val="24"/>
        </w:rPr>
      </w:pPr>
      <w:r>
        <w:rPr>
          <w:sz w:val="24"/>
          <w:szCs w:val="24"/>
        </w:rPr>
        <w:t>3 (DNS)</w:t>
      </w:r>
    </w:p>
    <w:p w:rsidR="00FF0DAA" w:rsidRDefault="0029045F">
      <w:pPr>
        <w:numPr>
          <w:ilvl w:val="0"/>
          <w:numId w:val="5"/>
        </w:numPr>
        <w:rPr>
          <w:sz w:val="24"/>
          <w:szCs w:val="24"/>
        </w:rPr>
      </w:pPr>
      <w:r>
        <w:rPr>
          <w:sz w:val="24"/>
          <w:szCs w:val="24"/>
        </w:rPr>
        <w:t xml:space="preserve">4 (RDDS) and </w:t>
      </w:r>
    </w:p>
    <w:p w:rsidR="00FF0DAA" w:rsidRDefault="0029045F">
      <w:pPr>
        <w:numPr>
          <w:ilvl w:val="0"/>
          <w:numId w:val="5"/>
        </w:numPr>
        <w:rPr>
          <w:sz w:val="24"/>
          <w:szCs w:val="24"/>
        </w:rPr>
      </w:pPr>
      <w:r>
        <w:rPr>
          <w:sz w:val="24"/>
          <w:szCs w:val="24"/>
        </w:rPr>
        <w:t xml:space="preserve">5 (EPP) </w:t>
      </w:r>
    </w:p>
    <w:p w:rsidR="00FF0DAA" w:rsidRDefault="00FF0DAA">
      <w:pPr>
        <w:ind w:left="2562"/>
        <w:rPr>
          <w:sz w:val="24"/>
          <w:szCs w:val="24"/>
        </w:rPr>
      </w:pPr>
    </w:p>
    <w:p w:rsidR="00FF0DAA" w:rsidRDefault="00FF0DAA">
      <w:pPr>
        <w:ind w:left="2562"/>
        <w:rPr>
          <w:sz w:val="24"/>
          <w:szCs w:val="24"/>
        </w:rPr>
      </w:pPr>
    </w:p>
    <w:p w:rsidR="00FF0DAA" w:rsidRDefault="0029045F">
      <w:pPr>
        <w:pStyle w:val="Heading3"/>
        <w:numPr>
          <w:ilvl w:val="2"/>
          <w:numId w:val="6"/>
        </w:numPr>
        <w:spacing w:after="0"/>
      </w:pPr>
      <w:bookmarkStart w:id="13" w:name="_heading=h.3rdcrjn" w:colFirst="0" w:colLast="0"/>
      <w:bookmarkEnd w:id="13"/>
      <w:r>
        <w:t>Action in the event of failure or potential failure</w:t>
      </w:r>
      <w:r>
        <w:t xml:space="preserve"> to meet the Service Level Threshold for DNS availability</w:t>
      </w:r>
      <w:r>
        <w:br/>
      </w:r>
    </w:p>
    <w:p w:rsidR="00FF0DAA" w:rsidRDefault="0029045F">
      <w:pPr>
        <w:numPr>
          <w:ilvl w:val="3"/>
          <w:numId w:val="6"/>
        </w:numPr>
      </w:pPr>
      <w:r>
        <w:rPr>
          <w:b/>
          <w:sz w:val="24"/>
          <w:szCs w:val="24"/>
        </w:rPr>
        <w:t>Business continuity target:</w:t>
      </w:r>
      <w:r>
        <w:rPr>
          <w:sz w:val="24"/>
          <w:szCs w:val="24"/>
        </w:rPr>
        <w:t xml:space="preserve"> The Supplier shall notify the Critical Domain Holder within 15 minutes in the event of there being only one nameserver responding successfully in a specific ICANN geogra</w:t>
      </w:r>
      <w:r>
        <w:rPr>
          <w:sz w:val="24"/>
          <w:szCs w:val="24"/>
        </w:rPr>
        <w:t>phic region for more than 5 minutes. The Supplier shall raise a Major Incident.</w:t>
      </w:r>
      <w:r>
        <w:rPr>
          <w:sz w:val="24"/>
          <w:szCs w:val="24"/>
        </w:rPr>
        <w:br/>
      </w:r>
    </w:p>
    <w:p w:rsidR="00FF0DAA" w:rsidRDefault="0029045F">
      <w:pPr>
        <w:numPr>
          <w:ilvl w:val="3"/>
          <w:numId w:val="6"/>
        </w:numPr>
      </w:pPr>
      <w:r>
        <w:rPr>
          <w:b/>
          <w:sz w:val="24"/>
          <w:szCs w:val="24"/>
        </w:rPr>
        <w:t>Business continuity target:</w:t>
      </w:r>
      <w:r>
        <w:rPr>
          <w:sz w:val="24"/>
          <w:szCs w:val="24"/>
        </w:rPr>
        <w:t xml:space="preserve"> The Supplier shall notify the Critical Domain Holder within 15 minutes in the event of a failure or imminent likely failure affecting the DNS resol</w:t>
      </w:r>
      <w:r>
        <w:rPr>
          <w:sz w:val="24"/>
          <w:szCs w:val="24"/>
        </w:rPr>
        <w:t>ution or the proper DNSSEC resolution of the Critical Domain’s records. The Supplier shall raise an Emergency Incident.</w:t>
      </w:r>
      <w:r>
        <w:rPr>
          <w:sz w:val="24"/>
          <w:szCs w:val="24"/>
        </w:rPr>
        <w:br/>
      </w:r>
    </w:p>
    <w:p w:rsidR="00FF0DAA" w:rsidRDefault="0029045F">
      <w:pPr>
        <w:numPr>
          <w:ilvl w:val="3"/>
          <w:numId w:val="6"/>
        </w:numPr>
      </w:pPr>
      <w:r>
        <w:rPr>
          <w:b/>
          <w:sz w:val="24"/>
          <w:szCs w:val="24"/>
        </w:rPr>
        <w:t xml:space="preserve">Business continuity target: </w:t>
      </w:r>
      <w:r>
        <w:rPr>
          <w:sz w:val="24"/>
          <w:szCs w:val="24"/>
        </w:rPr>
        <w:t xml:space="preserve">Without prejudice to any other triggers for invocation set out in the BCDR Plan, The Supplier shall invoke </w:t>
      </w:r>
      <w:r>
        <w:rPr>
          <w:sz w:val="24"/>
          <w:szCs w:val="24"/>
        </w:rPr>
        <w:t>its BCDR Plan within 15 minutes of raising an Emergency Incident.</w:t>
      </w:r>
      <w:r>
        <w:br/>
      </w:r>
    </w:p>
    <w:p w:rsidR="00FF0DAA" w:rsidRDefault="0029045F">
      <w:pPr>
        <w:pStyle w:val="Heading3"/>
        <w:numPr>
          <w:ilvl w:val="1"/>
          <w:numId w:val="6"/>
        </w:numPr>
        <w:spacing w:before="0" w:after="0"/>
      </w:pPr>
      <w:bookmarkStart w:id="14" w:name="_heading=h.26in1rg" w:colFirst="0" w:colLast="0"/>
      <w:bookmarkEnd w:id="14"/>
      <w:r>
        <w:t>Ensuring continued availability and resilience</w:t>
      </w:r>
    </w:p>
    <w:p w:rsidR="00FF0DAA" w:rsidRDefault="00FF0DAA">
      <w:pPr>
        <w:ind w:left="1145"/>
      </w:pPr>
    </w:p>
    <w:p w:rsidR="00FF0DAA" w:rsidRDefault="0029045F">
      <w:pPr>
        <w:numPr>
          <w:ilvl w:val="2"/>
          <w:numId w:val="6"/>
        </w:numPr>
      </w:pPr>
      <w:r>
        <w:rPr>
          <w:sz w:val="24"/>
          <w:szCs w:val="24"/>
        </w:rPr>
        <w:t>The Supplier shall demonstrate at least annually the capacity of the DNS resolution service to process legitimate DNS queries normally in the event of a realistic global-scale malicious attack. For information: the nominal peak (excluding malicious attacks</w:t>
      </w:r>
      <w:r>
        <w:rPr>
          <w:sz w:val="24"/>
          <w:szCs w:val="24"/>
        </w:rPr>
        <w:t>), as measured in April 2023, was 12,300 queries per second (QPS).</w:t>
      </w:r>
    </w:p>
    <w:p w:rsidR="00FF0DAA" w:rsidRDefault="00FF0DAA">
      <w:pPr>
        <w:ind w:left="1712"/>
        <w:rPr>
          <w:sz w:val="24"/>
          <w:szCs w:val="24"/>
        </w:rPr>
      </w:pPr>
    </w:p>
    <w:p w:rsidR="00FF0DAA" w:rsidRDefault="0029045F">
      <w:pPr>
        <w:numPr>
          <w:ilvl w:val="2"/>
          <w:numId w:val="6"/>
        </w:numPr>
      </w:pPr>
      <w:r>
        <w:rPr>
          <w:sz w:val="24"/>
          <w:szCs w:val="24"/>
        </w:rPr>
        <w:t>The Supplier shall notify and engage with the Critical Domain Holder within no more than 24 hours if the Supplier identifies any actor or actors (known or unknown) carrying out a DNS attac</w:t>
      </w:r>
      <w:r>
        <w:rPr>
          <w:sz w:val="24"/>
          <w:szCs w:val="24"/>
        </w:rPr>
        <w:t xml:space="preserve">k on the Supplier systems that results in QPS going above a ‘concerning rate’ (as agreed between the Parties in writing at least annually) for a </w:t>
      </w:r>
      <w:r>
        <w:rPr>
          <w:sz w:val="24"/>
          <w:szCs w:val="24"/>
        </w:rPr>
        <w:lastRenderedPageBreak/>
        <w:t>sustained period of time. The concerning rate will be defined in % terms of the increase of queries on the Supp</w:t>
      </w:r>
      <w:r>
        <w:rPr>
          <w:sz w:val="24"/>
          <w:szCs w:val="24"/>
        </w:rPr>
        <w:t>lier system from steady state.</w:t>
      </w:r>
    </w:p>
    <w:p w:rsidR="00FF0DAA" w:rsidRDefault="00FF0DAA">
      <w:pPr>
        <w:ind w:left="1712"/>
        <w:rPr>
          <w:sz w:val="24"/>
          <w:szCs w:val="24"/>
        </w:rPr>
      </w:pPr>
    </w:p>
    <w:p w:rsidR="00FF0DAA" w:rsidRDefault="0029045F">
      <w:pPr>
        <w:pStyle w:val="Heading2"/>
        <w:numPr>
          <w:ilvl w:val="1"/>
          <w:numId w:val="6"/>
        </w:numPr>
      </w:pPr>
      <w:bookmarkStart w:id="15" w:name="_heading=h.lnxbz9" w:colFirst="0" w:colLast="0"/>
      <w:bookmarkEnd w:id="15"/>
      <w:r>
        <w:t xml:space="preserve">Shared Registration System </w:t>
      </w:r>
    </w:p>
    <w:p w:rsidR="00FF0DAA" w:rsidRDefault="0029045F">
      <w:pPr>
        <w:numPr>
          <w:ilvl w:val="2"/>
          <w:numId w:val="6"/>
        </w:numPr>
      </w:pPr>
      <w:r>
        <w:rPr>
          <w:sz w:val="24"/>
          <w:szCs w:val="24"/>
        </w:rPr>
        <w:t xml:space="preserve">The Supplier shall operate a </w:t>
      </w:r>
      <w:hyperlink r:id="rId37">
        <w:r>
          <w:rPr>
            <w:color w:val="1155CC"/>
            <w:sz w:val="24"/>
            <w:szCs w:val="24"/>
            <w:u w:val="single"/>
          </w:rPr>
          <w:t xml:space="preserve">Shared Registration System (SRS) </w:t>
        </w:r>
      </w:hyperlink>
      <w:r>
        <w:rPr>
          <w:sz w:val="24"/>
          <w:szCs w:val="24"/>
        </w:rPr>
        <w:t xml:space="preserve">so </w:t>
      </w:r>
      <w:proofErr w:type="gramStart"/>
      <w:r>
        <w:rPr>
          <w:sz w:val="24"/>
          <w:szCs w:val="24"/>
        </w:rPr>
        <w:t>unlimited .</w:t>
      </w:r>
      <w:proofErr w:type="gramEnd"/>
      <w:r>
        <w:rPr>
          <w:sz w:val="24"/>
          <w:szCs w:val="24"/>
        </w:rPr>
        <w:t xml:space="preserve">gov.uk Approved Registrars may provide domain name registration services using one shared Registry. </w:t>
      </w:r>
    </w:p>
    <w:p w:rsidR="00FF0DAA" w:rsidRDefault="00FF0DAA">
      <w:pPr>
        <w:ind w:left="1712"/>
        <w:rPr>
          <w:sz w:val="24"/>
          <w:szCs w:val="24"/>
        </w:rPr>
      </w:pPr>
    </w:p>
    <w:p w:rsidR="00FF0DAA" w:rsidRDefault="0029045F">
      <w:pPr>
        <w:numPr>
          <w:ilvl w:val="2"/>
          <w:numId w:val="6"/>
        </w:numPr>
      </w:pPr>
      <w:r>
        <w:rPr>
          <w:sz w:val="24"/>
          <w:szCs w:val="24"/>
        </w:rPr>
        <w:t>The Supplier shall ensure that the SRS enables Registrars to register, renew, modify, delete, and transfer domains.</w:t>
      </w:r>
    </w:p>
    <w:p w:rsidR="00FF0DAA" w:rsidRDefault="00FF0DAA">
      <w:pPr>
        <w:ind w:left="1145"/>
        <w:rPr>
          <w:sz w:val="24"/>
          <w:szCs w:val="24"/>
        </w:rPr>
      </w:pPr>
    </w:p>
    <w:p w:rsidR="00FF0DAA" w:rsidRDefault="0029045F">
      <w:pPr>
        <w:numPr>
          <w:ilvl w:val="2"/>
          <w:numId w:val="6"/>
        </w:numPr>
      </w:pPr>
      <w:r>
        <w:rPr>
          <w:sz w:val="24"/>
          <w:szCs w:val="24"/>
        </w:rPr>
        <w:t>The Supplier shall ensu</w:t>
      </w:r>
      <w:r>
        <w:rPr>
          <w:sz w:val="24"/>
          <w:szCs w:val="24"/>
        </w:rPr>
        <w:t xml:space="preserve">re that the SRS meets the Extensible Provisioning Protocol (EPP), </w:t>
      </w:r>
      <w:hyperlink r:id="rId38">
        <w:r>
          <w:rPr>
            <w:color w:val="1155CC"/>
            <w:sz w:val="24"/>
            <w:szCs w:val="24"/>
            <w:u w:val="single"/>
          </w:rPr>
          <w:t>RFC 5730</w:t>
        </w:r>
      </w:hyperlink>
      <w:r>
        <w:rPr>
          <w:sz w:val="24"/>
          <w:szCs w:val="24"/>
        </w:rPr>
        <w:t xml:space="preserve">. </w:t>
      </w:r>
      <w:hyperlink r:id="rId39">
        <w:r>
          <w:rPr>
            <w:color w:val="1155CC"/>
            <w:sz w:val="24"/>
            <w:szCs w:val="24"/>
            <w:u w:val="single"/>
          </w:rPr>
          <w:t>RFC 5731</w:t>
        </w:r>
      </w:hyperlink>
      <w:r>
        <w:rPr>
          <w:sz w:val="24"/>
          <w:szCs w:val="24"/>
        </w:rPr>
        <w:t xml:space="preserve">, </w:t>
      </w:r>
      <w:hyperlink r:id="rId40">
        <w:r>
          <w:rPr>
            <w:color w:val="1155CC"/>
            <w:sz w:val="24"/>
            <w:szCs w:val="24"/>
            <w:u w:val="single"/>
          </w:rPr>
          <w:t>RFC 5732</w:t>
        </w:r>
      </w:hyperlink>
      <w:r>
        <w:rPr>
          <w:sz w:val="24"/>
          <w:szCs w:val="24"/>
        </w:rPr>
        <w:t xml:space="preserve">, </w:t>
      </w:r>
      <w:hyperlink r:id="rId41">
        <w:r>
          <w:rPr>
            <w:color w:val="1155CC"/>
            <w:sz w:val="24"/>
            <w:szCs w:val="24"/>
            <w:u w:val="single"/>
          </w:rPr>
          <w:t>RFC 5733</w:t>
        </w:r>
      </w:hyperlink>
      <w:r>
        <w:rPr>
          <w:sz w:val="24"/>
          <w:szCs w:val="24"/>
        </w:rPr>
        <w:t xml:space="preserve">, </w:t>
      </w:r>
      <w:hyperlink r:id="rId42">
        <w:r>
          <w:rPr>
            <w:color w:val="1155CC"/>
            <w:sz w:val="24"/>
            <w:szCs w:val="24"/>
            <w:u w:val="single"/>
          </w:rPr>
          <w:t>RFC 5734</w:t>
        </w:r>
      </w:hyperlink>
      <w:r>
        <w:rPr>
          <w:sz w:val="24"/>
          <w:szCs w:val="24"/>
        </w:rPr>
        <w:t xml:space="preserve">, </w:t>
      </w:r>
      <w:r>
        <w:rPr>
          <w:sz w:val="24"/>
          <w:szCs w:val="24"/>
        </w:rPr>
        <w:br/>
      </w:r>
    </w:p>
    <w:p w:rsidR="00FF0DAA" w:rsidRDefault="0029045F">
      <w:pPr>
        <w:numPr>
          <w:ilvl w:val="2"/>
          <w:numId w:val="6"/>
        </w:numPr>
      </w:pPr>
      <w:r>
        <w:rPr>
          <w:sz w:val="24"/>
          <w:szCs w:val="24"/>
        </w:rPr>
        <w:t xml:space="preserve">In the event that </w:t>
      </w:r>
      <w:proofErr w:type="gramStart"/>
      <w:r>
        <w:rPr>
          <w:sz w:val="24"/>
          <w:szCs w:val="24"/>
        </w:rPr>
        <w:t>all .</w:t>
      </w:r>
      <w:proofErr w:type="gramEnd"/>
      <w:r>
        <w:rPr>
          <w:sz w:val="24"/>
          <w:szCs w:val="24"/>
        </w:rPr>
        <w:t>gov.uk Approved Registrars are affected by an SRS unavaila</w:t>
      </w:r>
      <w:r>
        <w:rPr>
          <w:sz w:val="24"/>
          <w:szCs w:val="24"/>
        </w:rPr>
        <w:t>bility, the Supplier shall notify all .gov.uk Approved Registrars of the details of the SRS unavailability within 15 minutes, and make reasonable efforts to restore the SRS service to normal operations within no more than 24 hours.</w:t>
      </w:r>
    </w:p>
    <w:p w:rsidR="00FF0DAA" w:rsidRDefault="00FF0DAA">
      <w:pPr>
        <w:ind w:left="1712"/>
        <w:rPr>
          <w:sz w:val="24"/>
          <w:szCs w:val="24"/>
        </w:rPr>
      </w:pPr>
    </w:p>
    <w:p w:rsidR="00FF0DAA" w:rsidRDefault="0029045F">
      <w:pPr>
        <w:numPr>
          <w:ilvl w:val="2"/>
          <w:numId w:val="6"/>
        </w:numPr>
      </w:pPr>
      <w:r>
        <w:rPr>
          <w:sz w:val="24"/>
          <w:szCs w:val="24"/>
        </w:rPr>
        <w:t>The Supplier shall offe</w:t>
      </w:r>
      <w:r>
        <w:rPr>
          <w:sz w:val="24"/>
          <w:szCs w:val="24"/>
        </w:rPr>
        <w:t xml:space="preserve">r the capability for authorised users </w:t>
      </w:r>
      <w:proofErr w:type="gramStart"/>
      <w:r>
        <w:rPr>
          <w:sz w:val="24"/>
          <w:szCs w:val="24"/>
        </w:rPr>
        <w:t>from .</w:t>
      </w:r>
      <w:proofErr w:type="gramEnd"/>
      <w:r>
        <w:rPr>
          <w:sz w:val="24"/>
          <w:szCs w:val="24"/>
        </w:rPr>
        <w:t>gov.uk Approved Registrars and the Critical Domain Holder to conduct searches on the Shared Registry Service. The Supplier shall ensure that the search results returned are appropriate to the access privileges of</w:t>
      </w:r>
      <w:r>
        <w:rPr>
          <w:sz w:val="24"/>
          <w:szCs w:val="24"/>
        </w:rPr>
        <w:t xml:space="preserve"> each specific authorised user.</w:t>
      </w:r>
    </w:p>
    <w:p w:rsidR="00FF0DAA" w:rsidRDefault="00FF0DAA">
      <w:pPr>
        <w:rPr>
          <w:sz w:val="24"/>
          <w:szCs w:val="24"/>
        </w:rPr>
      </w:pPr>
    </w:p>
    <w:p w:rsidR="00FF0DAA" w:rsidRDefault="00FF0DAA">
      <w:pPr>
        <w:ind w:left="1712"/>
        <w:rPr>
          <w:sz w:val="24"/>
          <w:szCs w:val="24"/>
        </w:rPr>
      </w:pPr>
    </w:p>
    <w:p w:rsidR="00FF0DAA" w:rsidRDefault="0029045F">
      <w:pPr>
        <w:pStyle w:val="Heading2"/>
        <w:numPr>
          <w:ilvl w:val="1"/>
          <w:numId w:val="6"/>
        </w:numPr>
      </w:pPr>
      <w:bookmarkStart w:id="16" w:name="_heading=h.35nkun2" w:colFirst="0" w:colLast="0"/>
      <w:bookmarkEnd w:id="16"/>
      <w:r>
        <w:t>Registration Data Directory Services - RDDS (WHOIS/RDAP)</w:t>
      </w:r>
    </w:p>
    <w:p w:rsidR="00FF0DAA" w:rsidRDefault="0029045F">
      <w:pPr>
        <w:numPr>
          <w:ilvl w:val="2"/>
          <w:numId w:val="6"/>
        </w:numPr>
      </w:pPr>
      <w:r>
        <w:rPr>
          <w:sz w:val="24"/>
          <w:szCs w:val="24"/>
        </w:rPr>
        <w:t xml:space="preserve">The Supplier shall operate a reliable and free public Registration Data Directory Services (RDDS) to allow lookups for Registry Data </w:t>
      </w:r>
      <w:r>
        <w:rPr>
          <w:sz w:val="24"/>
          <w:szCs w:val="24"/>
        </w:rPr>
        <w:lastRenderedPageBreak/>
        <w:t>information, as outlined below.</w:t>
      </w:r>
      <w:r>
        <w:rPr>
          <w:sz w:val="24"/>
          <w:szCs w:val="24"/>
        </w:rPr>
        <w:br/>
      </w:r>
    </w:p>
    <w:p w:rsidR="00FF0DAA" w:rsidRDefault="0029045F">
      <w:pPr>
        <w:numPr>
          <w:ilvl w:val="3"/>
          <w:numId w:val="6"/>
        </w:numPr>
      </w:pPr>
      <w:r>
        <w:rPr>
          <w:sz w:val="24"/>
          <w:szCs w:val="24"/>
        </w:rPr>
        <w:t xml:space="preserve">The Supplier shall provide RDDS via a web-based RDAP query tool to enable free public query-based access. For clarity the supplier is not required to provide </w:t>
      </w:r>
      <w:proofErr w:type="gramStart"/>
      <w:r>
        <w:rPr>
          <w:sz w:val="24"/>
          <w:szCs w:val="24"/>
        </w:rPr>
        <w:t>a  web</w:t>
      </w:r>
      <w:proofErr w:type="gramEnd"/>
      <w:r>
        <w:rPr>
          <w:sz w:val="24"/>
          <w:szCs w:val="24"/>
        </w:rPr>
        <w:t>-based RDAP query tool to enable free public query-based access. For clarity the supplier i</w:t>
      </w:r>
      <w:r>
        <w:rPr>
          <w:sz w:val="24"/>
          <w:szCs w:val="24"/>
        </w:rPr>
        <w:t xml:space="preserve">s not required to provide a </w:t>
      </w:r>
      <w:hyperlink r:id="rId43">
        <w:r>
          <w:rPr>
            <w:color w:val="1155CC"/>
            <w:sz w:val="24"/>
            <w:szCs w:val="24"/>
            <w:u w:val="single"/>
          </w:rPr>
          <w:t>WHOIS service</w:t>
        </w:r>
      </w:hyperlink>
      <w:r>
        <w:rPr>
          <w:sz w:val="24"/>
          <w:szCs w:val="24"/>
        </w:rPr>
        <w:t xml:space="preserve"> via port 43;</w:t>
      </w:r>
    </w:p>
    <w:p w:rsidR="00FF0DAA" w:rsidRDefault="00FF0DAA">
      <w:pPr>
        <w:ind w:left="2562"/>
        <w:rPr>
          <w:sz w:val="24"/>
          <w:szCs w:val="24"/>
        </w:rPr>
      </w:pPr>
    </w:p>
    <w:p w:rsidR="00FF0DAA" w:rsidRDefault="0029045F">
      <w:pPr>
        <w:numPr>
          <w:ilvl w:val="3"/>
          <w:numId w:val="6"/>
        </w:numPr>
      </w:pPr>
      <w:r>
        <w:rPr>
          <w:sz w:val="24"/>
          <w:szCs w:val="24"/>
        </w:rPr>
        <w:t xml:space="preserve">The Supplier shall provide RDDS via a </w:t>
      </w:r>
      <w:hyperlink r:id="rId44">
        <w:r>
          <w:rPr>
            <w:color w:val="1155CC"/>
            <w:sz w:val="24"/>
            <w:szCs w:val="24"/>
            <w:u w:val="single"/>
          </w:rPr>
          <w:t>Registry Data Access Protocol (RDAP) service</w:t>
        </w:r>
      </w:hyperlink>
      <w:r>
        <w:rPr>
          <w:sz w:val="24"/>
          <w:szCs w:val="24"/>
        </w:rPr>
        <w:t>;</w:t>
      </w:r>
    </w:p>
    <w:p w:rsidR="00FF0DAA" w:rsidRDefault="00FF0DAA">
      <w:pPr>
        <w:ind w:left="2562"/>
        <w:rPr>
          <w:sz w:val="24"/>
          <w:szCs w:val="24"/>
        </w:rPr>
      </w:pPr>
    </w:p>
    <w:p w:rsidR="00FF0DAA" w:rsidRDefault="0029045F">
      <w:pPr>
        <w:numPr>
          <w:ilvl w:val="3"/>
          <w:numId w:val="6"/>
        </w:numPr>
        <w:rPr>
          <w:sz w:val="24"/>
          <w:szCs w:val="24"/>
        </w:rPr>
      </w:pPr>
      <w:r>
        <w:rPr>
          <w:sz w:val="24"/>
          <w:szCs w:val="24"/>
        </w:rPr>
        <w:t>The Supplier shall evo</w:t>
      </w:r>
      <w:r>
        <w:rPr>
          <w:sz w:val="24"/>
          <w:szCs w:val="24"/>
        </w:rPr>
        <w:t>lve its RDDS (WHOIS/RDAP) services in accordance with ICANN standards and timescales.</w:t>
      </w:r>
    </w:p>
    <w:p w:rsidR="00FF0DAA" w:rsidRDefault="00FF0DAA">
      <w:pPr>
        <w:ind w:left="1712"/>
        <w:rPr>
          <w:sz w:val="24"/>
          <w:szCs w:val="24"/>
        </w:rPr>
      </w:pPr>
    </w:p>
    <w:p w:rsidR="00FF0DAA" w:rsidRDefault="0029045F">
      <w:pPr>
        <w:numPr>
          <w:ilvl w:val="2"/>
          <w:numId w:val="6"/>
        </w:numPr>
      </w:pPr>
      <w:r>
        <w:rPr>
          <w:sz w:val="24"/>
          <w:szCs w:val="24"/>
        </w:rPr>
        <w:t>The Supplier shall ensure the RDAP service is provided over HTTPS only and complies with:</w:t>
      </w:r>
      <w:r>
        <w:rPr>
          <w:sz w:val="24"/>
          <w:szCs w:val="24"/>
        </w:rPr>
        <w:br/>
      </w:r>
    </w:p>
    <w:p w:rsidR="00FF0DAA" w:rsidRDefault="0029045F">
      <w:pPr>
        <w:numPr>
          <w:ilvl w:val="3"/>
          <w:numId w:val="4"/>
        </w:numPr>
        <w:shd w:val="clear" w:color="auto" w:fill="FFFFFF"/>
        <w:rPr>
          <w:color w:val="333333"/>
        </w:rPr>
      </w:pPr>
      <w:hyperlink r:id="rId45">
        <w:r>
          <w:rPr>
            <w:color w:val="1155CC"/>
            <w:sz w:val="24"/>
            <w:szCs w:val="24"/>
            <w:u w:val="single"/>
          </w:rPr>
          <w:t>RFC 7480</w:t>
        </w:r>
      </w:hyperlink>
      <w:r>
        <w:rPr>
          <w:color w:val="333333"/>
          <w:sz w:val="24"/>
          <w:szCs w:val="24"/>
        </w:rPr>
        <w:t xml:space="preserve"> – HTTP Usage in the Registration Data Access Protocol (RDAP)</w:t>
      </w:r>
    </w:p>
    <w:p w:rsidR="00FF0DAA" w:rsidRDefault="0029045F">
      <w:pPr>
        <w:numPr>
          <w:ilvl w:val="3"/>
          <w:numId w:val="4"/>
        </w:numPr>
        <w:shd w:val="clear" w:color="auto" w:fill="FFFFFF"/>
        <w:rPr>
          <w:color w:val="333333"/>
        </w:rPr>
      </w:pPr>
      <w:hyperlink r:id="rId46">
        <w:r>
          <w:rPr>
            <w:color w:val="1155CC"/>
            <w:sz w:val="24"/>
            <w:szCs w:val="24"/>
            <w:u w:val="single"/>
          </w:rPr>
          <w:t>RFC 7481</w:t>
        </w:r>
      </w:hyperlink>
      <w:r>
        <w:rPr>
          <w:color w:val="333333"/>
          <w:sz w:val="24"/>
          <w:szCs w:val="24"/>
        </w:rPr>
        <w:t xml:space="preserve"> – Security Services for the Registration Data Access Protocol (RDAP)</w:t>
      </w:r>
    </w:p>
    <w:p w:rsidR="00FF0DAA" w:rsidRDefault="0029045F">
      <w:pPr>
        <w:numPr>
          <w:ilvl w:val="3"/>
          <w:numId w:val="4"/>
        </w:numPr>
        <w:shd w:val="clear" w:color="auto" w:fill="FFFFFF"/>
        <w:rPr>
          <w:color w:val="333333"/>
        </w:rPr>
      </w:pPr>
      <w:hyperlink r:id="rId47">
        <w:r>
          <w:rPr>
            <w:color w:val="1155CC"/>
            <w:sz w:val="24"/>
            <w:szCs w:val="24"/>
            <w:u w:val="single"/>
          </w:rPr>
          <w:t>RFC 9082</w:t>
        </w:r>
      </w:hyperlink>
      <w:r>
        <w:rPr>
          <w:color w:val="333333"/>
          <w:sz w:val="24"/>
          <w:szCs w:val="24"/>
        </w:rPr>
        <w:t xml:space="preserve"> – Registration Data Access Protocol (RDAP) Query Format</w:t>
      </w:r>
    </w:p>
    <w:p w:rsidR="00FF0DAA" w:rsidRDefault="0029045F">
      <w:pPr>
        <w:numPr>
          <w:ilvl w:val="3"/>
          <w:numId w:val="4"/>
        </w:numPr>
        <w:shd w:val="clear" w:color="auto" w:fill="FFFFFF"/>
        <w:rPr>
          <w:color w:val="333333"/>
        </w:rPr>
      </w:pPr>
      <w:hyperlink r:id="rId48">
        <w:r>
          <w:rPr>
            <w:color w:val="1155CC"/>
            <w:sz w:val="24"/>
            <w:szCs w:val="24"/>
            <w:u w:val="single"/>
          </w:rPr>
          <w:t>RFC 9083</w:t>
        </w:r>
      </w:hyperlink>
      <w:r>
        <w:rPr>
          <w:color w:val="333333"/>
          <w:sz w:val="24"/>
          <w:szCs w:val="24"/>
        </w:rPr>
        <w:t xml:space="preserve"> – JSON Responses for the Registration Data Access Protocol (RDAP)</w:t>
      </w:r>
    </w:p>
    <w:p w:rsidR="00FF0DAA" w:rsidRDefault="0029045F">
      <w:pPr>
        <w:numPr>
          <w:ilvl w:val="3"/>
          <w:numId w:val="4"/>
        </w:numPr>
        <w:shd w:val="clear" w:color="auto" w:fill="FFFFFF"/>
        <w:rPr>
          <w:color w:val="333333"/>
        </w:rPr>
      </w:pPr>
      <w:hyperlink r:id="rId49">
        <w:r>
          <w:rPr>
            <w:color w:val="1155CC"/>
            <w:sz w:val="24"/>
            <w:szCs w:val="24"/>
            <w:u w:val="single"/>
          </w:rPr>
          <w:t>RFC 7484</w:t>
        </w:r>
      </w:hyperlink>
      <w:r>
        <w:rPr>
          <w:color w:val="333333"/>
          <w:sz w:val="24"/>
          <w:szCs w:val="24"/>
        </w:rPr>
        <w:t xml:space="preserve"> – Finding the Authoritative Registration Data (RDAP) Service</w:t>
      </w:r>
    </w:p>
    <w:p w:rsidR="00FF0DAA" w:rsidRDefault="0029045F">
      <w:pPr>
        <w:numPr>
          <w:ilvl w:val="3"/>
          <w:numId w:val="4"/>
        </w:numPr>
        <w:shd w:val="clear" w:color="auto" w:fill="FFFFFF"/>
        <w:rPr>
          <w:color w:val="333333"/>
        </w:rPr>
      </w:pPr>
      <w:hyperlink r:id="rId50">
        <w:r>
          <w:rPr>
            <w:color w:val="1155CC"/>
            <w:sz w:val="24"/>
            <w:szCs w:val="24"/>
            <w:u w:val="single"/>
          </w:rPr>
          <w:t>RFC 7485</w:t>
        </w:r>
      </w:hyperlink>
      <w:r>
        <w:rPr>
          <w:color w:val="333333"/>
          <w:sz w:val="24"/>
          <w:szCs w:val="24"/>
        </w:rPr>
        <w:t xml:space="preserve"> – Inventory and Analysis of WHOIS Registration Objects</w:t>
      </w:r>
    </w:p>
    <w:p w:rsidR="00FF0DAA" w:rsidRDefault="00FF0DAA">
      <w:pPr>
        <w:shd w:val="clear" w:color="auto" w:fill="FFFFFF"/>
        <w:spacing w:after="180"/>
        <w:ind w:left="2880"/>
        <w:rPr>
          <w:color w:val="333333"/>
          <w:sz w:val="24"/>
          <w:szCs w:val="24"/>
        </w:rPr>
      </w:pPr>
    </w:p>
    <w:p w:rsidR="00FF0DAA" w:rsidRDefault="0029045F">
      <w:pPr>
        <w:numPr>
          <w:ilvl w:val="2"/>
          <w:numId w:val="6"/>
        </w:numPr>
      </w:pPr>
      <w:r>
        <w:rPr>
          <w:sz w:val="24"/>
          <w:szCs w:val="24"/>
        </w:rPr>
        <w:t>The Supplier shall include the following data in RDDS (WHOIS/RDAP)</w:t>
      </w:r>
      <w:r>
        <w:rPr>
          <w:sz w:val="24"/>
          <w:szCs w:val="24"/>
        </w:rPr>
        <w:t xml:space="preserve"> responses:</w:t>
      </w:r>
    </w:p>
    <w:p w:rsidR="00FF0DAA" w:rsidRDefault="0029045F">
      <w:pPr>
        <w:numPr>
          <w:ilvl w:val="3"/>
          <w:numId w:val="4"/>
        </w:numPr>
        <w:pBdr>
          <w:top w:val="nil"/>
          <w:left w:val="nil"/>
          <w:bottom w:val="nil"/>
          <w:right w:val="nil"/>
          <w:between w:val="nil"/>
        </w:pBdr>
      </w:pPr>
      <w:r>
        <w:rPr>
          <w:sz w:val="24"/>
          <w:szCs w:val="24"/>
        </w:rPr>
        <w:t xml:space="preserve">Domain status </w:t>
      </w:r>
    </w:p>
    <w:p w:rsidR="00FF0DAA" w:rsidRDefault="0029045F">
      <w:pPr>
        <w:numPr>
          <w:ilvl w:val="3"/>
          <w:numId w:val="4"/>
        </w:numPr>
      </w:pPr>
      <w:r>
        <w:rPr>
          <w:sz w:val="24"/>
          <w:szCs w:val="24"/>
        </w:rPr>
        <w:t xml:space="preserve">Organisational names </w:t>
      </w:r>
    </w:p>
    <w:p w:rsidR="00FF0DAA" w:rsidRDefault="0029045F">
      <w:pPr>
        <w:numPr>
          <w:ilvl w:val="3"/>
          <w:numId w:val="4"/>
        </w:numPr>
        <w:pBdr>
          <w:top w:val="nil"/>
          <w:left w:val="nil"/>
          <w:bottom w:val="nil"/>
          <w:right w:val="nil"/>
          <w:between w:val="nil"/>
        </w:pBdr>
      </w:pPr>
      <w:r>
        <w:rPr>
          <w:sz w:val="24"/>
          <w:szCs w:val="24"/>
        </w:rPr>
        <w:t>Contact name for relevant Individuals or Posts, including:</w:t>
      </w:r>
    </w:p>
    <w:p w:rsidR="00FF0DAA" w:rsidRDefault="0029045F">
      <w:pPr>
        <w:numPr>
          <w:ilvl w:val="4"/>
          <w:numId w:val="4"/>
        </w:numPr>
        <w:pBdr>
          <w:top w:val="nil"/>
          <w:left w:val="nil"/>
          <w:bottom w:val="nil"/>
          <w:right w:val="nil"/>
          <w:between w:val="nil"/>
        </w:pBdr>
      </w:pPr>
      <w:r>
        <w:rPr>
          <w:sz w:val="24"/>
          <w:szCs w:val="24"/>
        </w:rPr>
        <w:lastRenderedPageBreak/>
        <w:t>Street address</w:t>
      </w:r>
    </w:p>
    <w:p w:rsidR="00FF0DAA" w:rsidRDefault="0029045F">
      <w:pPr>
        <w:numPr>
          <w:ilvl w:val="4"/>
          <w:numId w:val="4"/>
        </w:numPr>
        <w:pBdr>
          <w:top w:val="nil"/>
          <w:left w:val="nil"/>
          <w:bottom w:val="nil"/>
          <w:right w:val="nil"/>
          <w:between w:val="nil"/>
        </w:pBdr>
        <w:rPr>
          <w:sz w:val="24"/>
          <w:szCs w:val="24"/>
        </w:rPr>
      </w:pPr>
      <w:r>
        <w:rPr>
          <w:sz w:val="24"/>
          <w:szCs w:val="24"/>
        </w:rPr>
        <w:t>Postcode</w:t>
      </w:r>
    </w:p>
    <w:p w:rsidR="00FF0DAA" w:rsidRDefault="0029045F">
      <w:pPr>
        <w:numPr>
          <w:ilvl w:val="4"/>
          <w:numId w:val="4"/>
        </w:numPr>
        <w:pBdr>
          <w:top w:val="nil"/>
          <w:left w:val="nil"/>
          <w:bottom w:val="nil"/>
          <w:right w:val="nil"/>
          <w:between w:val="nil"/>
        </w:pBdr>
      </w:pPr>
      <w:r>
        <w:rPr>
          <w:sz w:val="24"/>
          <w:szCs w:val="24"/>
        </w:rPr>
        <w:t xml:space="preserve">Telephone </w:t>
      </w:r>
    </w:p>
    <w:p w:rsidR="00FF0DAA" w:rsidRDefault="0029045F">
      <w:pPr>
        <w:numPr>
          <w:ilvl w:val="4"/>
          <w:numId w:val="4"/>
        </w:numPr>
        <w:pBdr>
          <w:top w:val="nil"/>
          <w:left w:val="nil"/>
          <w:bottom w:val="nil"/>
          <w:right w:val="nil"/>
          <w:between w:val="nil"/>
        </w:pBdr>
      </w:pPr>
      <w:r>
        <w:rPr>
          <w:sz w:val="24"/>
          <w:szCs w:val="24"/>
        </w:rPr>
        <w:t>Email addresses</w:t>
      </w:r>
      <w:r>
        <w:rPr>
          <w:sz w:val="24"/>
          <w:szCs w:val="24"/>
        </w:rPr>
        <w:br/>
      </w:r>
    </w:p>
    <w:p w:rsidR="00FF0DAA" w:rsidRDefault="0029045F">
      <w:pPr>
        <w:numPr>
          <w:ilvl w:val="2"/>
          <w:numId w:val="6"/>
        </w:numPr>
      </w:pPr>
      <w:r>
        <w:rPr>
          <w:sz w:val="24"/>
          <w:szCs w:val="24"/>
        </w:rPr>
        <w:t>The Supplier may output data fields in addition to those specified above, subject to approval by the Critical Domain Holder.</w:t>
      </w:r>
      <w:r>
        <w:rPr>
          <w:sz w:val="24"/>
          <w:szCs w:val="24"/>
        </w:rPr>
        <w:br/>
      </w:r>
    </w:p>
    <w:p w:rsidR="00FF0DAA" w:rsidRDefault="0029045F">
      <w:pPr>
        <w:numPr>
          <w:ilvl w:val="2"/>
          <w:numId w:val="6"/>
        </w:numPr>
      </w:pPr>
      <w:r>
        <w:rPr>
          <w:sz w:val="24"/>
          <w:szCs w:val="24"/>
        </w:rPr>
        <w:t>The Supplier shall ensure that its RDDS (WHOIS/RDAP) services:</w:t>
      </w:r>
    </w:p>
    <w:p w:rsidR="00FF0DAA" w:rsidRDefault="00FF0DAA">
      <w:pPr>
        <w:ind w:left="1712"/>
        <w:rPr>
          <w:sz w:val="24"/>
          <w:szCs w:val="24"/>
        </w:rPr>
      </w:pPr>
    </w:p>
    <w:p w:rsidR="00FF0DAA" w:rsidRDefault="0029045F">
      <w:pPr>
        <w:numPr>
          <w:ilvl w:val="3"/>
          <w:numId w:val="6"/>
        </w:numPr>
      </w:pPr>
      <w:r>
        <w:rPr>
          <w:sz w:val="24"/>
          <w:szCs w:val="24"/>
        </w:rPr>
        <w:t>Maintain acceptable response times, in accordance with Call-Off Sc</w:t>
      </w:r>
      <w:r>
        <w:rPr>
          <w:sz w:val="24"/>
          <w:szCs w:val="24"/>
        </w:rPr>
        <w:t>hedule 14 - Service Levels, under high loads of traffic that may be legitimate or malicious;</w:t>
      </w:r>
    </w:p>
    <w:p w:rsidR="00FF0DAA" w:rsidRDefault="00FF0DAA">
      <w:pPr>
        <w:ind w:left="2562"/>
        <w:rPr>
          <w:sz w:val="24"/>
          <w:szCs w:val="24"/>
        </w:rPr>
      </w:pPr>
    </w:p>
    <w:p w:rsidR="00FF0DAA" w:rsidRDefault="0029045F">
      <w:pPr>
        <w:numPr>
          <w:ilvl w:val="3"/>
          <w:numId w:val="6"/>
        </w:numPr>
        <w:rPr>
          <w:sz w:val="24"/>
          <w:szCs w:val="24"/>
        </w:rPr>
      </w:pPr>
      <w:r>
        <w:rPr>
          <w:sz w:val="24"/>
          <w:szCs w:val="24"/>
        </w:rPr>
        <w:t>Include measures to mitigate malicious traffic and abuse;</w:t>
      </w:r>
    </w:p>
    <w:p w:rsidR="00FF0DAA" w:rsidRDefault="00FF0DAA">
      <w:pPr>
        <w:ind w:left="2562"/>
        <w:rPr>
          <w:sz w:val="24"/>
          <w:szCs w:val="24"/>
        </w:rPr>
      </w:pPr>
    </w:p>
    <w:p w:rsidR="00FF0DAA" w:rsidRDefault="0029045F">
      <w:pPr>
        <w:numPr>
          <w:ilvl w:val="3"/>
          <w:numId w:val="6"/>
        </w:numPr>
        <w:rPr>
          <w:sz w:val="24"/>
          <w:szCs w:val="24"/>
        </w:rPr>
      </w:pPr>
      <w:r>
        <w:rPr>
          <w:sz w:val="24"/>
          <w:szCs w:val="24"/>
        </w:rPr>
        <w:t>Does not respond to queries with personally identifiable information.</w:t>
      </w:r>
    </w:p>
    <w:p w:rsidR="00FF0DAA" w:rsidRDefault="00FF0DAA">
      <w:pPr>
        <w:ind w:left="1712"/>
        <w:rPr>
          <w:sz w:val="24"/>
          <w:szCs w:val="24"/>
        </w:rPr>
      </w:pPr>
    </w:p>
    <w:p w:rsidR="00FF0DAA" w:rsidRDefault="0029045F">
      <w:pPr>
        <w:numPr>
          <w:ilvl w:val="2"/>
          <w:numId w:val="6"/>
        </w:numPr>
      </w:pPr>
      <w:r>
        <w:rPr>
          <w:b/>
          <w:sz w:val="24"/>
          <w:szCs w:val="24"/>
        </w:rPr>
        <w:t>Business Continuity Target:</w:t>
      </w:r>
      <w:r>
        <w:rPr>
          <w:sz w:val="24"/>
          <w:szCs w:val="24"/>
        </w:rPr>
        <w:t xml:space="preserve"> In t</w:t>
      </w:r>
      <w:r>
        <w:rPr>
          <w:sz w:val="24"/>
          <w:szCs w:val="24"/>
        </w:rPr>
        <w:t xml:space="preserve">he event of an RDDS (WHOIS/RDAP) unavailability, the Supplier shall immediately notify </w:t>
      </w:r>
      <w:proofErr w:type="gramStart"/>
      <w:r>
        <w:rPr>
          <w:sz w:val="24"/>
          <w:szCs w:val="24"/>
        </w:rPr>
        <w:t>all .</w:t>
      </w:r>
      <w:proofErr w:type="gramEnd"/>
      <w:r>
        <w:rPr>
          <w:sz w:val="24"/>
          <w:szCs w:val="24"/>
        </w:rPr>
        <w:t>gov.uk Registrars and restore the RDDS (WHOIS/RDAP) service to normal operation within no more than 24 hours.</w:t>
      </w:r>
      <w:r>
        <w:rPr>
          <w:sz w:val="24"/>
          <w:szCs w:val="24"/>
        </w:rPr>
        <w:br/>
      </w:r>
    </w:p>
    <w:p w:rsidR="00FF0DAA" w:rsidRDefault="0029045F">
      <w:pPr>
        <w:pStyle w:val="Heading2"/>
        <w:numPr>
          <w:ilvl w:val="1"/>
          <w:numId w:val="6"/>
        </w:numPr>
      </w:pPr>
      <w:bookmarkStart w:id="17" w:name="_heading=h.1ksv4uv" w:colFirst="0" w:colLast="0"/>
      <w:bookmarkEnd w:id="17"/>
      <w:r>
        <w:t>Registry Data Escrow</w:t>
      </w:r>
    </w:p>
    <w:p w:rsidR="00FF0DAA" w:rsidRDefault="0029045F">
      <w:pPr>
        <w:numPr>
          <w:ilvl w:val="2"/>
          <w:numId w:val="6"/>
        </w:numPr>
      </w:pPr>
      <w:r>
        <w:rPr>
          <w:sz w:val="24"/>
          <w:szCs w:val="24"/>
        </w:rPr>
        <w:t>The Supplier shall ensure that t</w:t>
      </w:r>
      <w:r>
        <w:rPr>
          <w:sz w:val="24"/>
          <w:szCs w:val="24"/>
        </w:rPr>
        <w:t>he Critical Domain Holder has secure access to an accurate copy of the Registry Data at all times. This may be implemented by sharing the Registry Data directly with the Critical Domain Holder or via a data escrow agent, as per</w:t>
      </w:r>
      <w:r>
        <w:rPr>
          <w:color w:val="1155CC"/>
          <w:sz w:val="24"/>
          <w:szCs w:val="24"/>
          <w:u w:val="single"/>
        </w:rPr>
        <w:t xml:space="preserve"> </w:t>
      </w:r>
      <w:hyperlink r:id="rId51">
        <w:r>
          <w:rPr>
            <w:color w:val="1155CC"/>
            <w:sz w:val="24"/>
            <w:szCs w:val="24"/>
            <w:u w:val="single"/>
          </w:rPr>
          <w:t>ICANN’s Specification 2 - Data Escrow Requirements</w:t>
        </w:r>
      </w:hyperlink>
      <w:r>
        <w:rPr>
          <w:sz w:val="24"/>
          <w:szCs w:val="24"/>
        </w:rPr>
        <w:t>, subject to the approval of the Critical Domain Holder. See response to question 4.7 in Call-Off Schedule 4 for further de</w:t>
      </w:r>
      <w:r>
        <w:rPr>
          <w:sz w:val="24"/>
          <w:szCs w:val="24"/>
        </w:rPr>
        <w:t xml:space="preserve">tails. </w:t>
      </w:r>
      <w:r>
        <w:rPr>
          <w:sz w:val="24"/>
          <w:szCs w:val="24"/>
        </w:rPr>
        <w:br/>
      </w:r>
    </w:p>
    <w:p w:rsidR="00FF0DAA" w:rsidRDefault="0029045F">
      <w:pPr>
        <w:pStyle w:val="Heading2"/>
        <w:numPr>
          <w:ilvl w:val="1"/>
          <w:numId w:val="6"/>
        </w:numPr>
        <w:pBdr>
          <w:top w:val="nil"/>
          <w:left w:val="nil"/>
          <w:bottom w:val="nil"/>
          <w:right w:val="nil"/>
          <w:between w:val="nil"/>
        </w:pBdr>
      </w:pPr>
      <w:bookmarkStart w:id="18" w:name="_heading=h.44sinio" w:colFirst="0" w:colLast="0"/>
      <w:bookmarkEnd w:id="18"/>
      <w:r>
        <w:lastRenderedPageBreak/>
        <w:t>DNSSEC</w:t>
      </w:r>
    </w:p>
    <w:p w:rsidR="00FF0DAA" w:rsidRDefault="0029045F">
      <w:pPr>
        <w:numPr>
          <w:ilvl w:val="2"/>
          <w:numId w:val="6"/>
        </w:numPr>
      </w:pPr>
      <w:r>
        <w:rPr>
          <w:sz w:val="24"/>
          <w:szCs w:val="24"/>
        </w:rPr>
        <w:t xml:space="preserve">The Supplier shall sign zone files implementing domain name System Security Extensions (DNSSEC). For the avoidance of doubt, the Supplier shall sign the zone file </w:t>
      </w:r>
      <w:proofErr w:type="gramStart"/>
      <w:r>
        <w:rPr>
          <w:sz w:val="24"/>
          <w:szCs w:val="24"/>
        </w:rPr>
        <w:t>of .</w:t>
      </w:r>
      <w:proofErr w:type="gramEnd"/>
      <w:r>
        <w:rPr>
          <w:sz w:val="24"/>
          <w:szCs w:val="24"/>
        </w:rPr>
        <w:t xml:space="preserve">gov.uk, and the third level names spaces managed by the Registry and zone files used for </w:t>
      </w:r>
      <w:r>
        <w:rPr>
          <w:sz w:val="24"/>
          <w:szCs w:val="24"/>
        </w:rPr>
        <w:t>in-bailiwick glue for the namespace’s DNS servers. The Supplier shall comply with the following RFCs and their successors:</w:t>
      </w:r>
      <w:r>
        <w:rPr>
          <w:sz w:val="24"/>
          <w:szCs w:val="24"/>
        </w:rPr>
        <w:br/>
      </w:r>
    </w:p>
    <w:p w:rsidR="00FF0DAA" w:rsidRDefault="0029045F">
      <w:pPr>
        <w:numPr>
          <w:ilvl w:val="3"/>
          <w:numId w:val="4"/>
        </w:numPr>
        <w:pBdr>
          <w:top w:val="nil"/>
          <w:left w:val="nil"/>
          <w:bottom w:val="nil"/>
          <w:right w:val="nil"/>
          <w:between w:val="nil"/>
        </w:pBdr>
      </w:pPr>
      <w:hyperlink r:id="rId52">
        <w:r>
          <w:rPr>
            <w:color w:val="1155CC"/>
            <w:sz w:val="24"/>
            <w:szCs w:val="24"/>
            <w:u w:val="single"/>
          </w:rPr>
          <w:t>RFC 4033</w:t>
        </w:r>
      </w:hyperlink>
      <w:r>
        <w:rPr>
          <w:sz w:val="24"/>
          <w:szCs w:val="24"/>
        </w:rPr>
        <w:t xml:space="preserve"> – DNS Security Introduction and Requirements</w:t>
      </w:r>
    </w:p>
    <w:p w:rsidR="00FF0DAA" w:rsidRDefault="0029045F">
      <w:pPr>
        <w:numPr>
          <w:ilvl w:val="3"/>
          <w:numId w:val="4"/>
        </w:numPr>
        <w:pBdr>
          <w:top w:val="nil"/>
          <w:left w:val="nil"/>
          <w:bottom w:val="nil"/>
          <w:right w:val="nil"/>
          <w:between w:val="nil"/>
        </w:pBdr>
      </w:pPr>
      <w:hyperlink r:id="rId53">
        <w:r>
          <w:rPr>
            <w:color w:val="1155CC"/>
            <w:sz w:val="24"/>
            <w:szCs w:val="24"/>
            <w:u w:val="single"/>
          </w:rPr>
          <w:t>RFC 4034</w:t>
        </w:r>
      </w:hyperlink>
      <w:r>
        <w:rPr>
          <w:sz w:val="24"/>
          <w:szCs w:val="24"/>
        </w:rPr>
        <w:t xml:space="preserve"> – Resource Records for the DNS Security Extensions</w:t>
      </w:r>
    </w:p>
    <w:p w:rsidR="00FF0DAA" w:rsidRDefault="0029045F">
      <w:pPr>
        <w:numPr>
          <w:ilvl w:val="3"/>
          <w:numId w:val="4"/>
        </w:numPr>
        <w:pBdr>
          <w:top w:val="nil"/>
          <w:left w:val="nil"/>
          <w:bottom w:val="nil"/>
          <w:right w:val="nil"/>
          <w:between w:val="nil"/>
        </w:pBdr>
      </w:pPr>
      <w:hyperlink r:id="rId54">
        <w:r>
          <w:rPr>
            <w:color w:val="1155CC"/>
            <w:sz w:val="24"/>
            <w:szCs w:val="24"/>
            <w:u w:val="single"/>
          </w:rPr>
          <w:t>RFC 4035</w:t>
        </w:r>
      </w:hyperlink>
      <w:r>
        <w:rPr>
          <w:sz w:val="24"/>
          <w:szCs w:val="24"/>
        </w:rPr>
        <w:t xml:space="preserve"> – Protocol Modifications for the DNS Security Extensions</w:t>
      </w:r>
    </w:p>
    <w:p w:rsidR="00FF0DAA" w:rsidRDefault="0029045F">
      <w:pPr>
        <w:numPr>
          <w:ilvl w:val="3"/>
          <w:numId w:val="4"/>
        </w:numPr>
        <w:pBdr>
          <w:top w:val="nil"/>
          <w:left w:val="nil"/>
          <w:bottom w:val="nil"/>
          <w:right w:val="nil"/>
          <w:between w:val="nil"/>
        </w:pBdr>
      </w:pPr>
      <w:hyperlink r:id="rId55">
        <w:r>
          <w:rPr>
            <w:color w:val="1155CC"/>
            <w:sz w:val="24"/>
            <w:szCs w:val="24"/>
            <w:u w:val="single"/>
          </w:rPr>
          <w:t>RFC 4509</w:t>
        </w:r>
      </w:hyperlink>
      <w:r>
        <w:rPr>
          <w:sz w:val="24"/>
          <w:szCs w:val="24"/>
        </w:rPr>
        <w:t xml:space="preserve"> - Use of SHA-256 in DNSSEC Delegation Signer (DS) Resource Records (RRs), and follow the best </w:t>
      </w:r>
    </w:p>
    <w:p w:rsidR="00FF0DAA" w:rsidRDefault="0029045F">
      <w:pPr>
        <w:numPr>
          <w:ilvl w:val="3"/>
          <w:numId w:val="4"/>
        </w:numPr>
        <w:pBdr>
          <w:top w:val="nil"/>
          <w:left w:val="nil"/>
          <w:bottom w:val="nil"/>
          <w:right w:val="nil"/>
          <w:between w:val="nil"/>
        </w:pBdr>
      </w:pPr>
      <w:r>
        <w:rPr>
          <w:sz w:val="24"/>
          <w:szCs w:val="24"/>
        </w:rPr>
        <w:t xml:space="preserve">practices described in: </w:t>
      </w:r>
      <w:hyperlink r:id="rId56">
        <w:r>
          <w:rPr>
            <w:color w:val="1155CC"/>
            <w:sz w:val="24"/>
            <w:szCs w:val="24"/>
            <w:u w:val="single"/>
          </w:rPr>
          <w:t>RFC 6781</w:t>
        </w:r>
      </w:hyperlink>
      <w:r>
        <w:rPr>
          <w:sz w:val="24"/>
          <w:szCs w:val="24"/>
        </w:rPr>
        <w:t xml:space="preserve"> – </w:t>
      </w:r>
      <w:r>
        <w:rPr>
          <w:sz w:val="24"/>
          <w:szCs w:val="24"/>
        </w:rPr>
        <w:t>DNSSEC Operational Practices, Version 2</w:t>
      </w:r>
      <w:r>
        <w:rPr>
          <w:sz w:val="24"/>
          <w:szCs w:val="24"/>
        </w:rPr>
        <w:br/>
      </w:r>
    </w:p>
    <w:p w:rsidR="00FF0DAA" w:rsidRDefault="0029045F">
      <w:pPr>
        <w:numPr>
          <w:ilvl w:val="2"/>
          <w:numId w:val="6"/>
        </w:numPr>
      </w:pPr>
      <w:r>
        <w:rPr>
          <w:sz w:val="24"/>
          <w:szCs w:val="24"/>
        </w:rPr>
        <w:t xml:space="preserve">The Supplier shall deliver Hashed Authenticated Denial of Existence for DNSSEC, in compliance with </w:t>
      </w:r>
      <w:hyperlink r:id="rId57">
        <w:r>
          <w:rPr>
            <w:color w:val="1155CC"/>
            <w:sz w:val="24"/>
            <w:szCs w:val="24"/>
            <w:u w:val="single"/>
          </w:rPr>
          <w:t>RFC 5155</w:t>
        </w:r>
      </w:hyperlink>
      <w:r>
        <w:rPr>
          <w:sz w:val="24"/>
          <w:szCs w:val="24"/>
        </w:rPr>
        <w:t xml:space="preserve"> and its successors.</w:t>
      </w:r>
      <w:r>
        <w:rPr>
          <w:sz w:val="24"/>
          <w:szCs w:val="24"/>
        </w:rPr>
        <w:br/>
      </w:r>
    </w:p>
    <w:p w:rsidR="00FF0DAA" w:rsidRDefault="0029045F">
      <w:pPr>
        <w:numPr>
          <w:ilvl w:val="2"/>
          <w:numId w:val="6"/>
        </w:numPr>
      </w:pPr>
      <w:r>
        <w:rPr>
          <w:sz w:val="24"/>
          <w:szCs w:val="24"/>
        </w:rPr>
        <w:t>The Supplier shall accept</w:t>
      </w:r>
      <w:r>
        <w:rPr>
          <w:sz w:val="24"/>
          <w:szCs w:val="24"/>
        </w:rPr>
        <w:t xml:space="preserve"> public-key material from child domain names in a secure manner according to industry best practices.</w:t>
      </w:r>
      <w:r>
        <w:rPr>
          <w:sz w:val="24"/>
          <w:szCs w:val="24"/>
        </w:rPr>
        <w:br/>
      </w:r>
    </w:p>
    <w:p w:rsidR="00FF0DAA" w:rsidRDefault="0029045F">
      <w:pPr>
        <w:numPr>
          <w:ilvl w:val="2"/>
          <w:numId w:val="6"/>
        </w:numPr>
      </w:pPr>
      <w:r>
        <w:rPr>
          <w:sz w:val="24"/>
          <w:szCs w:val="24"/>
        </w:rPr>
        <w:t xml:space="preserve">The Supplier shall publish its DNSSEC Practice Statements following the format described in </w:t>
      </w:r>
      <w:hyperlink r:id="rId58">
        <w:r>
          <w:rPr>
            <w:color w:val="1155CC"/>
            <w:sz w:val="24"/>
            <w:szCs w:val="24"/>
            <w:u w:val="single"/>
          </w:rPr>
          <w:t>RFC 6841</w:t>
        </w:r>
      </w:hyperlink>
      <w:r>
        <w:rPr>
          <w:sz w:val="24"/>
          <w:szCs w:val="24"/>
        </w:rPr>
        <w:t xml:space="preserve"> – A Framework for DNSSEC Policies and DNSSEC Practice Statements - describing critical security controls and procedures for key material storage, access, and usage for its own keys, and secure acceptance of registrants’ public-key material.</w:t>
      </w:r>
      <w:r>
        <w:rPr>
          <w:sz w:val="24"/>
          <w:szCs w:val="24"/>
        </w:rPr>
        <w:br/>
      </w:r>
    </w:p>
    <w:p w:rsidR="00FF0DAA" w:rsidRDefault="0029045F">
      <w:pPr>
        <w:numPr>
          <w:ilvl w:val="2"/>
          <w:numId w:val="6"/>
        </w:numPr>
      </w:pPr>
      <w:r>
        <w:rPr>
          <w:sz w:val="24"/>
          <w:szCs w:val="24"/>
        </w:rPr>
        <w:t>T</w:t>
      </w:r>
      <w:r>
        <w:rPr>
          <w:sz w:val="24"/>
          <w:szCs w:val="24"/>
        </w:rPr>
        <w:t xml:space="preserve">he Supplier shall make sure DNSSEC validation is active and use the </w:t>
      </w:r>
      <w:hyperlink r:id="rId59">
        <w:r>
          <w:rPr>
            <w:color w:val="1155CC"/>
            <w:sz w:val="24"/>
            <w:szCs w:val="24"/>
            <w:u w:val="single"/>
          </w:rPr>
          <w:t>IANA DNS Root Key Signing Key</w:t>
        </w:r>
      </w:hyperlink>
      <w:r>
        <w:rPr>
          <w:sz w:val="24"/>
          <w:szCs w:val="24"/>
        </w:rPr>
        <w:t xml:space="preserve"> set as a trust anchor for the </w:t>
      </w:r>
      <w:proofErr w:type="gramStart"/>
      <w:r>
        <w:rPr>
          <w:sz w:val="24"/>
          <w:szCs w:val="24"/>
        </w:rPr>
        <w:t>Resilient .</w:t>
      </w:r>
      <w:proofErr w:type="gramEnd"/>
      <w:r>
        <w:rPr>
          <w:sz w:val="24"/>
          <w:szCs w:val="24"/>
        </w:rPr>
        <w:t xml:space="preserve">gov.uk Registry Services making use of data obtained via </w:t>
      </w:r>
      <w:r>
        <w:rPr>
          <w:sz w:val="24"/>
          <w:szCs w:val="24"/>
        </w:rPr>
        <w:lastRenderedPageBreak/>
        <w:t>DNS res</w:t>
      </w:r>
      <w:r>
        <w:rPr>
          <w:sz w:val="24"/>
          <w:szCs w:val="24"/>
        </w:rPr>
        <w:t>ponses.</w:t>
      </w:r>
      <w:r>
        <w:rPr>
          <w:sz w:val="24"/>
          <w:szCs w:val="24"/>
        </w:rPr>
        <w:br/>
      </w:r>
    </w:p>
    <w:p w:rsidR="00FF0DAA" w:rsidRDefault="0029045F">
      <w:pPr>
        <w:numPr>
          <w:ilvl w:val="2"/>
          <w:numId w:val="6"/>
        </w:numPr>
      </w:pPr>
      <w:r>
        <w:rPr>
          <w:b/>
          <w:sz w:val="24"/>
          <w:szCs w:val="24"/>
        </w:rPr>
        <w:t>Business Continuity Target:</w:t>
      </w:r>
      <w:r>
        <w:rPr>
          <w:sz w:val="24"/>
          <w:szCs w:val="24"/>
        </w:rPr>
        <w:t xml:space="preserve"> The Supplier shall give a minimum of 1 </w:t>
      </w:r>
      <w:proofErr w:type="spellStart"/>
      <w:r>
        <w:rPr>
          <w:sz w:val="24"/>
          <w:szCs w:val="24"/>
        </w:rPr>
        <w:t>month's notice</w:t>
      </w:r>
      <w:proofErr w:type="spellEnd"/>
      <w:r>
        <w:rPr>
          <w:sz w:val="24"/>
          <w:szCs w:val="24"/>
        </w:rPr>
        <w:t xml:space="preserve"> to the technical contact for the parent domain for any changes to the host names or IP addresses of any of the Critical Domain’s authoritative nameservers.</w:t>
      </w:r>
    </w:p>
    <w:p w:rsidR="00FF0DAA" w:rsidRDefault="0029045F">
      <w:pPr>
        <w:pStyle w:val="Heading2"/>
        <w:numPr>
          <w:ilvl w:val="1"/>
          <w:numId w:val="6"/>
        </w:numPr>
        <w:pBdr>
          <w:top w:val="nil"/>
          <w:left w:val="nil"/>
          <w:bottom w:val="nil"/>
          <w:right w:val="nil"/>
          <w:between w:val="nil"/>
        </w:pBdr>
      </w:pPr>
      <w:bookmarkStart w:id="19" w:name="_heading=h.2jxsxqh" w:colFirst="0" w:colLast="0"/>
      <w:bookmarkEnd w:id="19"/>
      <w:r>
        <w:t>Use of Re</w:t>
      </w:r>
      <w:r>
        <w:t>gistry and query data</w:t>
      </w:r>
    </w:p>
    <w:p w:rsidR="00FF0DAA" w:rsidRDefault="00FF0DAA">
      <w:pPr>
        <w:rPr>
          <w:sz w:val="24"/>
          <w:szCs w:val="24"/>
        </w:rPr>
      </w:pPr>
    </w:p>
    <w:p w:rsidR="00FF0DAA" w:rsidRDefault="0029045F">
      <w:pPr>
        <w:numPr>
          <w:ilvl w:val="2"/>
          <w:numId w:val="6"/>
        </w:numPr>
        <w:tabs>
          <w:tab w:val="left" w:pos="2160"/>
        </w:tabs>
      </w:pPr>
      <w:r>
        <w:rPr>
          <w:sz w:val="24"/>
          <w:szCs w:val="24"/>
        </w:rPr>
        <w:t>The Supplier shall not use Registry Data or query data for any purpose without prior permission from The Critical Domain Holder.</w:t>
      </w:r>
    </w:p>
    <w:p w:rsidR="00FF0DAA" w:rsidRDefault="00FF0DAA">
      <w:pPr>
        <w:rPr>
          <w:sz w:val="24"/>
          <w:szCs w:val="24"/>
        </w:rPr>
      </w:pPr>
    </w:p>
    <w:p w:rsidR="00FF0DAA" w:rsidRDefault="0029045F">
      <w:pPr>
        <w:pStyle w:val="Heading1"/>
        <w:numPr>
          <w:ilvl w:val="0"/>
          <w:numId w:val="6"/>
        </w:numPr>
        <w:spacing w:before="200"/>
      </w:pPr>
      <w:bookmarkStart w:id="20" w:name="_heading=h.z337ya" w:colFirst="0" w:colLast="0"/>
      <w:bookmarkEnd w:id="20"/>
      <w:r>
        <w:t>Other Registry Functions</w:t>
      </w:r>
    </w:p>
    <w:p w:rsidR="00FF0DAA" w:rsidRDefault="0029045F">
      <w:pPr>
        <w:pStyle w:val="Heading2"/>
        <w:numPr>
          <w:ilvl w:val="1"/>
          <w:numId w:val="6"/>
        </w:numPr>
      </w:pPr>
      <w:bookmarkStart w:id="21" w:name="_heading=h.3j2qqm3" w:colFirst="0" w:colLast="0"/>
      <w:bookmarkEnd w:id="21"/>
      <w:r>
        <w:t>Changes to Registry Data</w:t>
      </w:r>
    </w:p>
    <w:p w:rsidR="00FF0DAA" w:rsidRDefault="0029045F">
      <w:pPr>
        <w:pStyle w:val="Heading3"/>
        <w:numPr>
          <w:ilvl w:val="2"/>
          <w:numId w:val="6"/>
        </w:numPr>
        <w:spacing w:before="200"/>
      </w:pPr>
      <w:bookmarkStart w:id="22" w:name="_heading=h.1y810tw" w:colFirst="0" w:colLast="0"/>
      <w:bookmarkEnd w:id="22"/>
      <w:r>
        <w:t>All Changes to Registry Data</w:t>
      </w:r>
    </w:p>
    <w:p w:rsidR="00FF0DAA" w:rsidRDefault="00FF0DAA">
      <w:pPr>
        <w:ind w:left="1712"/>
      </w:pPr>
    </w:p>
    <w:p w:rsidR="00FF0DAA" w:rsidRDefault="0029045F">
      <w:pPr>
        <w:numPr>
          <w:ilvl w:val="3"/>
          <w:numId w:val="6"/>
        </w:numPr>
        <w:rPr>
          <w:color w:val="000000"/>
          <w:sz w:val="26"/>
          <w:szCs w:val="26"/>
        </w:rPr>
      </w:pPr>
      <w:r>
        <w:rPr>
          <w:sz w:val="24"/>
          <w:szCs w:val="24"/>
        </w:rPr>
        <w:t>The Supplier shall ensure that any change to any Registry data record is supported by a change request from an appropriately authorised individual person with an appropriately authorised role.</w:t>
      </w:r>
    </w:p>
    <w:p w:rsidR="00FF0DAA" w:rsidRDefault="00FF0DAA">
      <w:pPr>
        <w:rPr>
          <w:sz w:val="24"/>
          <w:szCs w:val="24"/>
        </w:rPr>
      </w:pPr>
    </w:p>
    <w:p w:rsidR="00FF0DAA" w:rsidRDefault="0029045F">
      <w:pPr>
        <w:numPr>
          <w:ilvl w:val="3"/>
          <w:numId w:val="6"/>
        </w:numPr>
        <w:rPr>
          <w:color w:val="000000"/>
          <w:sz w:val="26"/>
          <w:szCs w:val="26"/>
        </w:rPr>
      </w:pPr>
      <w:r>
        <w:rPr>
          <w:sz w:val="24"/>
          <w:szCs w:val="24"/>
          <w:highlight w:val="white"/>
        </w:rPr>
        <w:t>The Supplier shall confirm with the Registrant (through the Re</w:t>
      </w:r>
      <w:r>
        <w:rPr>
          <w:sz w:val="24"/>
          <w:szCs w:val="24"/>
          <w:highlight w:val="white"/>
        </w:rPr>
        <w:t xml:space="preserve">gistrar) and the Critical Domain Holder before allowing any change request to proceed that does not meet all of the </w:t>
      </w:r>
      <w:hyperlink w:anchor="_heading=h.4i7ojhp">
        <w:r>
          <w:rPr>
            <w:color w:val="1155CC"/>
            <w:sz w:val="24"/>
            <w:szCs w:val="24"/>
            <w:highlight w:val="white"/>
            <w:u w:val="single"/>
          </w:rPr>
          <w:t>Registry domain record checks</w:t>
        </w:r>
      </w:hyperlink>
      <w:r>
        <w:rPr>
          <w:sz w:val="24"/>
          <w:szCs w:val="24"/>
          <w:highlight w:val="white"/>
        </w:rPr>
        <w:t>.</w:t>
      </w:r>
    </w:p>
    <w:p w:rsidR="00FF0DAA" w:rsidRDefault="00FF0DAA">
      <w:pPr>
        <w:ind w:left="2562"/>
        <w:rPr>
          <w:sz w:val="24"/>
          <w:szCs w:val="24"/>
          <w:highlight w:val="white"/>
        </w:rPr>
      </w:pPr>
    </w:p>
    <w:p w:rsidR="00FF0DAA" w:rsidRDefault="0029045F">
      <w:pPr>
        <w:numPr>
          <w:ilvl w:val="3"/>
          <w:numId w:val="6"/>
        </w:numPr>
        <w:rPr>
          <w:sz w:val="24"/>
          <w:szCs w:val="24"/>
          <w:highlight w:val="white"/>
        </w:rPr>
      </w:pPr>
      <w:r>
        <w:rPr>
          <w:sz w:val="24"/>
          <w:szCs w:val="24"/>
          <w:highlight w:val="white"/>
        </w:rPr>
        <w:t>The Supplier shall ensure that all change requests and changes are logged.</w:t>
      </w:r>
    </w:p>
    <w:p w:rsidR="00FF0DAA" w:rsidRDefault="00FF0DAA">
      <w:pPr>
        <w:ind w:left="2562"/>
        <w:rPr>
          <w:sz w:val="24"/>
          <w:szCs w:val="24"/>
          <w:highlight w:val="white"/>
        </w:rPr>
      </w:pPr>
    </w:p>
    <w:p w:rsidR="00FF0DAA" w:rsidRDefault="0029045F">
      <w:pPr>
        <w:numPr>
          <w:ilvl w:val="3"/>
          <w:numId w:val="6"/>
        </w:numPr>
        <w:rPr>
          <w:sz w:val="24"/>
          <w:szCs w:val="24"/>
          <w:highlight w:val="white"/>
        </w:rPr>
      </w:pPr>
      <w:r>
        <w:rPr>
          <w:sz w:val="24"/>
          <w:szCs w:val="24"/>
          <w:highlight w:val="white"/>
        </w:rPr>
        <w:t>The Supplier shall ensure that logs of all change requests and changes are retained for 3 years, and available for inspection by the Registrant whose records were changed, their Re</w:t>
      </w:r>
      <w:r>
        <w:rPr>
          <w:sz w:val="24"/>
          <w:szCs w:val="24"/>
          <w:highlight w:val="white"/>
        </w:rPr>
        <w:t>gistrar, and the Critical Domain Holder.</w:t>
      </w:r>
    </w:p>
    <w:p w:rsidR="00FF0DAA" w:rsidRDefault="00FF0DAA">
      <w:pPr>
        <w:rPr>
          <w:sz w:val="24"/>
          <w:szCs w:val="24"/>
          <w:highlight w:val="white"/>
        </w:rPr>
      </w:pPr>
    </w:p>
    <w:p w:rsidR="00FF0DAA" w:rsidRDefault="0029045F">
      <w:pPr>
        <w:pStyle w:val="Heading3"/>
        <w:numPr>
          <w:ilvl w:val="2"/>
          <w:numId w:val="6"/>
        </w:numPr>
        <w:rPr>
          <w:highlight w:val="white"/>
        </w:rPr>
      </w:pPr>
      <w:bookmarkStart w:id="23" w:name="_heading=h.4i7ojhp" w:colFirst="0" w:colLast="0"/>
      <w:bookmarkEnd w:id="23"/>
      <w:r>
        <w:t>Registry domain record checks</w:t>
      </w:r>
    </w:p>
    <w:p w:rsidR="00FF0DAA" w:rsidRDefault="00FF0DAA">
      <w:pPr>
        <w:ind w:left="1145"/>
      </w:pPr>
    </w:p>
    <w:p w:rsidR="00FF0DAA" w:rsidRDefault="0029045F">
      <w:pPr>
        <w:ind w:left="1701"/>
      </w:pPr>
      <w:r>
        <w:rPr>
          <w:sz w:val="24"/>
          <w:szCs w:val="24"/>
        </w:rPr>
        <w:t>The Supplier shall carry out the checks set out in the table below:</w:t>
      </w:r>
    </w:p>
    <w:p w:rsidR="00FF0DAA" w:rsidRDefault="00FF0DAA">
      <w:pPr>
        <w:rPr>
          <w:sz w:val="24"/>
          <w:szCs w:val="24"/>
        </w:rPr>
      </w:pPr>
    </w:p>
    <w:tbl>
      <w:tblPr>
        <w:tblStyle w:val="ac"/>
        <w:tblW w:w="8610" w:type="dxa"/>
        <w:tblInd w:w="6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610"/>
      </w:tblGrid>
      <w:tr w:rsidR="00FF0DAA">
        <w:tc>
          <w:tcPr>
            <w:tcW w:w="86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F0DAA" w:rsidRDefault="00795979">
            <w:pPr>
              <w:rPr>
                <w:rFonts w:ascii="Arial" w:eastAsia="Arial" w:hAnsi="Arial" w:cs="Arial"/>
                <w:color w:val="000000"/>
                <w:sz w:val="24"/>
                <w:szCs w:val="24"/>
              </w:rPr>
            </w:pPr>
            <w:r>
              <w:rPr>
                <w:rFonts w:ascii="Arial" w:eastAsia="Arial" w:hAnsi="Arial" w:cs="Arial"/>
                <w:color w:val="000000"/>
                <w:sz w:val="24"/>
                <w:szCs w:val="24"/>
              </w:rPr>
              <w:t>REDACTED</w:t>
            </w:r>
          </w:p>
        </w:tc>
      </w:tr>
      <w:tr w:rsidR="00FF0DAA">
        <w:tc>
          <w:tcPr>
            <w:tcW w:w="86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F0DAA" w:rsidRDefault="00FF0DAA">
            <w:pPr>
              <w:rPr>
                <w:rFonts w:ascii="Arial" w:eastAsia="Arial" w:hAnsi="Arial" w:cs="Arial"/>
                <w:color w:val="000000"/>
                <w:sz w:val="24"/>
                <w:szCs w:val="24"/>
              </w:rPr>
            </w:pPr>
          </w:p>
        </w:tc>
      </w:tr>
      <w:tr w:rsidR="00FF0DAA">
        <w:tc>
          <w:tcPr>
            <w:tcW w:w="86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F0DAA" w:rsidRDefault="00FF0DAA">
            <w:pPr>
              <w:rPr>
                <w:rFonts w:ascii="Arial" w:eastAsia="Arial" w:hAnsi="Arial" w:cs="Arial"/>
                <w:color w:val="000000"/>
                <w:sz w:val="24"/>
                <w:szCs w:val="24"/>
              </w:rPr>
            </w:pPr>
          </w:p>
        </w:tc>
      </w:tr>
      <w:tr w:rsidR="00FF0DAA">
        <w:tc>
          <w:tcPr>
            <w:tcW w:w="86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F0DAA" w:rsidRDefault="00FF0DAA">
            <w:pPr>
              <w:rPr>
                <w:rFonts w:ascii="Arial" w:eastAsia="Arial" w:hAnsi="Arial" w:cs="Arial"/>
                <w:color w:val="000000"/>
                <w:sz w:val="24"/>
                <w:szCs w:val="24"/>
              </w:rPr>
            </w:pPr>
          </w:p>
        </w:tc>
      </w:tr>
      <w:tr w:rsidR="00FF0DAA">
        <w:tc>
          <w:tcPr>
            <w:tcW w:w="86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F0DAA" w:rsidRDefault="00FF0DAA">
            <w:pPr>
              <w:rPr>
                <w:rFonts w:ascii="Arial" w:eastAsia="Arial" w:hAnsi="Arial" w:cs="Arial"/>
                <w:color w:val="000000"/>
                <w:sz w:val="24"/>
                <w:szCs w:val="24"/>
              </w:rPr>
            </w:pPr>
          </w:p>
        </w:tc>
      </w:tr>
      <w:tr w:rsidR="00FF0DAA">
        <w:tc>
          <w:tcPr>
            <w:tcW w:w="86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F0DAA" w:rsidRDefault="00FF0DAA">
            <w:pPr>
              <w:rPr>
                <w:rFonts w:ascii="Arial" w:eastAsia="Arial" w:hAnsi="Arial" w:cs="Arial"/>
                <w:color w:val="000000"/>
                <w:sz w:val="24"/>
                <w:szCs w:val="24"/>
              </w:rPr>
            </w:pPr>
          </w:p>
        </w:tc>
      </w:tr>
      <w:tr w:rsidR="00FF0DAA">
        <w:tc>
          <w:tcPr>
            <w:tcW w:w="86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F0DAA" w:rsidRDefault="00FF0DAA">
            <w:pPr>
              <w:rPr>
                <w:rFonts w:ascii="Arial" w:eastAsia="Arial" w:hAnsi="Arial" w:cs="Arial"/>
                <w:color w:val="000000"/>
                <w:sz w:val="24"/>
                <w:szCs w:val="24"/>
              </w:rPr>
            </w:pPr>
          </w:p>
        </w:tc>
      </w:tr>
      <w:tr w:rsidR="00FF0DAA">
        <w:tc>
          <w:tcPr>
            <w:tcW w:w="86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F0DAA" w:rsidRDefault="00FF0DAA">
            <w:pPr>
              <w:rPr>
                <w:rFonts w:ascii="Arial" w:eastAsia="Arial" w:hAnsi="Arial" w:cs="Arial"/>
                <w:color w:val="000000"/>
                <w:sz w:val="24"/>
                <w:szCs w:val="24"/>
              </w:rPr>
            </w:pPr>
          </w:p>
        </w:tc>
      </w:tr>
      <w:tr w:rsidR="00FF0DAA">
        <w:tc>
          <w:tcPr>
            <w:tcW w:w="86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F0DAA" w:rsidRDefault="00FF0DAA">
            <w:pPr>
              <w:rPr>
                <w:rFonts w:ascii="Arial" w:eastAsia="Arial" w:hAnsi="Arial" w:cs="Arial"/>
                <w:color w:val="000000"/>
                <w:sz w:val="24"/>
                <w:szCs w:val="24"/>
              </w:rPr>
            </w:pPr>
          </w:p>
        </w:tc>
      </w:tr>
      <w:tr w:rsidR="00FF0DAA">
        <w:tc>
          <w:tcPr>
            <w:tcW w:w="86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F0DAA" w:rsidRDefault="00FF0DAA">
            <w:pPr>
              <w:rPr>
                <w:rFonts w:ascii="Arial" w:eastAsia="Arial" w:hAnsi="Arial" w:cs="Arial"/>
                <w:color w:val="000000"/>
                <w:sz w:val="24"/>
                <w:szCs w:val="24"/>
              </w:rPr>
            </w:pPr>
          </w:p>
        </w:tc>
      </w:tr>
      <w:tr w:rsidR="00FF0DAA">
        <w:tc>
          <w:tcPr>
            <w:tcW w:w="86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F0DAA" w:rsidRDefault="00FF0DAA">
            <w:pPr>
              <w:rPr>
                <w:rFonts w:ascii="Arial" w:eastAsia="Arial" w:hAnsi="Arial" w:cs="Arial"/>
                <w:color w:val="000000"/>
                <w:sz w:val="24"/>
                <w:szCs w:val="24"/>
              </w:rPr>
            </w:pPr>
          </w:p>
        </w:tc>
      </w:tr>
      <w:tr w:rsidR="00FF0DAA">
        <w:tc>
          <w:tcPr>
            <w:tcW w:w="86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F0DAA" w:rsidRDefault="00FF0DAA">
            <w:pPr>
              <w:rPr>
                <w:rFonts w:ascii="Arial" w:eastAsia="Arial" w:hAnsi="Arial" w:cs="Arial"/>
                <w:color w:val="000000"/>
                <w:sz w:val="24"/>
                <w:szCs w:val="24"/>
              </w:rPr>
            </w:pPr>
          </w:p>
        </w:tc>
      </w:tr>
      <w:tr w:rsidR="00FF0DAA">
        <w:tc>
          <w:tcPr>
            <w:tcW w:w="86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F0DAA" w:rsidRDefault="00FF0DAA">
            <w:pPr>
              <w:rPr>
                <w:rFonts w:ascii="Arial" w:eastAsia="Arial" w:hAnsi="Arial" w:cs="Arial"/>
                <w:color w:val="000000"/>
                <w:sz w:val="24"/>
                <w:szCs w:val="24"/>
              </w:rPr>
            </w:pPr>
          </w:p>
        </w:tc>
      </w:tr>
      <w:tr w:rsidR="00FF0DAA">
        <w:tc>
          <w:tcPr>
            <w:tcW w:w="86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F0DAA" w:rsidRDefault="00FF0DAA">
            <w:pPr>
              <w:rPr>
                <w:rFonts w:ascii="Arial" w:eastAsia="Arial" w:hAnsi="Arial" w:cs="Arial"/>
                <w:color w:val="000000"/>
                <w:sz w:val="24"/>
                <w:szCs w:val="24"/>
              </w:rPr>
            </w:pPr>
          </w:p>
        </w:tc>
      </w:tr>
      <w:tr w:rsidR="00FF0DAA">
        <w:tc>
          <w:tcPr>
            <w:tcW w:w="86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F0DAA" w:rsidRDefault="00FF0DAA">
            <w:pPr>
              <w:rPr>
                <w:rFonts w:ascii="Arial" w:eastAsia="Arial" w:hAnsi="Arial" w:cs="Arial"/>
                <w:color w:val="000000"/>
                <w:sz w:val="24"/>
                <w:szCs w:val="24"/>
              </w:rPr>
            </w:pPr>
          </w:p>
        </w:tc>
      </w:tr>
      <w:tr w:rsidR="00FF0DAA">
        <w:tc>
          <w:tcPr>
            <w:tcW w:w="86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F0DAA" w:rsidRDefault="00FF0DAA">
            <w:pPr>
              <w:rPr>
                <w:rFonts w:ascii="Arial" w:eastAsia="Arial" w:hAnsi="Arial" w:cs="Arial"/>
                <w:color w:val="000000"/>
                <w:sz w:val="24"/>
                <w:szCs w:val="24"/>
              </w:rPr>
            </w:pPr>
          </w:p>
        </w:tc>
      </w:tr>
      <w:tr w:rsidR="00FF0DAA">
        <w:tc>
          <w:tcPr>
            <w:tcW w:w="86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F0DAA" w:rsidRDefault="00FF0DAA">
            <w:pPr>
              <w:rPr>
                <w:rFonts w:ascii="Arial" w:eastAsia="Arial" w:hAnsi="Arial" w:cs="Arial"/>
                <w:color w:val="000000"/>
                <w:sz w:val="24"/>
                <w:szCs w:val="24"/>
              </w:rPr>
            </w:pPr>
          </w:p>
        </w:tc>
      </w:tr>
      <w:tr w:rsidR="00FF0DAA">
        <w:tc>
          <w:tcPr>
            <w:tcW w:w="86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F0DAA" w:rsidRDefault="00FF0DAA">
            <w:pPr>
              <w:rPr>
                <w:rFonts w:ascii="Arial" w:eastAsia="Arial" w:hAnsi="Arial" w:cs="Arial"/>
                <w:color w:val="000000"/>
                <w:sz w:val="24"/>
                <w:szCs w:val="24"/>
              </w:rPr>
            </w:pPr>
          </w:p>
        </w:tc>
      </w:tr>
      <w:tr w:rsidR="00FF0DAA">
        <w:tc>
          <w:tcPr>
            <w:tcW w:w="86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F0DAA" w:rsidRDefault="00FF0DAA">
            <w:pPr>
              <w:rPr>
                <w:rFonts w:ascii="Arial" w:eastAsia="Arial" w:hAnsi="Arial" w:cs="Arial"/>
                <w:color w:val="000000"/>
                <w:sz w:val="24"/>
                <w:szCs w:val="24"/>
              </w:rPr>
            </w:pPr>
          </w:p>
        </w:tc>
      </w:tr>
      <w:tr w:rsidR="00FF0DAA">
        <w:tc>
          <w:tcPr>
            <w:tcW w:w="86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F0DAA" w:rsidRDefault="00FF0DAA">
            <w:pPr>
              <w:rPr>
                <w:rFonts w:ascii="Arial" w:eastAsia="Arial" w:hAnsi="Arial" w:cs="Arial"/>
                <w:color w:val="000000"/>
                <w:sz w:val="24"/>
                <w:szCs w:val="24"/>
              </w:rPr>
            </w:pPr>
          </w:p>
        </w:tc>
      </w:tr>
      <w:tr w:rsidR="00FF0DAA">
        <w:tc>
          <w:tcPr>
            <w:tcW w:w="86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F0DAA" w:rsidRDefault="00FF0DAA">
            <w:pPr>
              <w:rPr>
                <w:rFonts w:ascii="Arial" w:eastAsia="Arial" w:hAnsi="Arial" w:cs="Arial"/>
                <w:color w:val="000000"/>
                <w:sz w:val="24"/>
                <w:szCs w:val="24"/>
              </w:rPr>
            </w:pPr>
          </w:p>
        </w:tc>
      </w:tr>
      <w:tr w:rsidR="00FF0DAA">
        <w:tc>
          <w:tcPr>
            <w:tcW w:w="86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F0DAA" w:rsidRDefault="00FF0DAA">
            <w:pPr>
              <w:rPr>
                <w:rFonts w:ascii="Arial" w:eastAsia="Arial" w:hAnsi="Arial" w:cs="Arial"/>
                <w:color w:val="000000"/>
                <w:sz w:val="24"/>
                <w:szCs w:val="24"/>
              </w:rPr>
            </w:pPr>
          </w:p>
        </w:tc>
      </w:tr>
      <w:tr w:rsidR="00FF0DAA">
        <w:tc>
          <w:tcPr>
            <w:tcW w:w="86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F0DAA" w:rsidRDefault="00FF0DAA">
            <w:pPr>
              <w:rPr>
                <w:rFonts w:ascii="Arial" w:eastAsia="Arial" w:hAnsi="Arial" w:cs="Arial"/>
                <w:color w:val="000000"/>
                <w:sz w:val="24"/>
                <w:szCs w:val="24"/>
              </w:rPr>
            </w:pPr>
          </w:p>
        </w:tc>
      </w:tr>
      <w:tr w:rsidR="00FF0DAA">
        <w:tc>
          <w:tcPr>
            <w:tcW w:w="86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F0DAA" w:rsidRDefault="00FF0DAA">
            <w:pPr>
              <w:rPr>
                <w:rFonts w:ascii="Arial" w:eastAsia="Arial" w:hAnsi="Arial" w:cs="Arial"/>
                <w:color w:val="000000"/>
                <w:sz w:val="24"/>
                <w:szCs w:val="24"/>
              </w:rPr>
            </w:pPr>
          </w:p>
        </w:tc>
      </w:tr>
    </w:tbl>
    <w:p w:rsidR="00FF0DAA" w:rsidRDefault="00FF0DAA">
      <w:pPr>
        <w:widowControl w:val="0"/>
        <w:rPr>
          <w:sz w:val="20"/>
          <w:szCs w:val="20"/>
        </w:rPr>
      </w:pPr>
    </w:p>
    <w:p w:rsidR="00FF0DAA" w:rsidRDefault="0029045F">
      <w:pPr>
        <w:pStyle w:val="Heading3"/>
        <w:numPr>
          <w:ilvl w:val="2"/>
          <w:numId w:val="6"/>
        </w:numPr>
      </w:pPr>
      <w:bookmarkStart w:id="24" w:name="_heading=h.2xcytpi" w:colFirst="0" w:colLast="0"/>
      <w:bookmarkEnd w:id="24"/>
      <w:r>
        <w:t>Registry data changes</w:t>
      </w:r>
    </w:p>
    <w:p w:rsidR="00FF0DAA" w:rsidRDefault="0029045F">
      <w:pPr>
        <w:pStyle w:val="Heading3"/>
        <w:numPr>
          <w:ilvl w:val="2"/>
          <w:numId w:val="6"/>
        </w:numPr>
        <w:rPr>
          <w:b w:val="0"/>
          <w:color w:val="000000"/>
        </w:rPr>
      </w:pPr>
      <w:r>
        <w:rPr>
          <w:b w:val="0"/>
          <w:color w:val="000000"/>
          <w:sz w:val="24"/>
          <w:szCs w:val="24"/>
        </w:rPr>
        <w:t>This relates to changes to domains, hosts or contact objects in the registry and that it presumes the reques</w:t>
      </w:r>
      <w:r>
        <w:rPr>
          <w:b w:val="0"/>
          <w:color w:val="000000"/>
          <w:sz w:val="24"/>
          <w:szCs w:val="24"/>
        </w:rPr>
        <w:t xml:space="preserve">t submitted passes all checks. Support for timed requests are to be discussed following contract </w:t>
      </w:r>
      <w:proofErr w:type="gramStart"/>
      <w:r>
        <w:rPr>
          <w:b w:val="0"/>
          <w:color w:val="000000"/>
          <w:sz w:val="24"/>
          <w:szCs w:val="24"/>
        </w:rPr>
        <w:t>award.​</w:t>
      </w:r>
      <w:proofErr w:type="gramEnd"/>
    </w:p>
    <w:p w:rsidR="00FF0DAA" w:rsidRDefault="00FF0DAA">
      <w:pPr>
        <w:ind w:left="1712"/>
      </w:pPr>
    </w:p>
    <w:p w:rsidR="00FF0DAA" w:rsidRDefault="0029045F">
      <w:pPr>
        <w:ind w:firstLine="720"/>
        <w:rPr>
          <w:i/>
          <w:sz w:val="24"/>
          <w:szCs w:val="24"/>
        </w:rPr>
      </w:pPr>
      <w:r>
        <w:rPr>
          <w:i/>
          <w:sz w:val="24"/>
          <w:szCs w:val="24"/>
        </w:rPr>
        <w:t>See also Call-Off Schedule 14 for relevant service level requirements.</w:t>
      </w:r>
    </w:p>
    <w:p w:rsidR="00FF0DAA" w:rsidRDefault="00FF0DAA">
      <w:pPr>
        <w:ind w:firstLine="720"/>
        <w:rPr>
          <w:i/>
          <w:sz w:val="24"/>
          <w:szCs w:val="24"/>
        </w:rPr>
      </w:pPr>
    </w:p>
    <w:p w:rsidR="00FF0DAA" w:rsidRDefault="00FF0DAA"/>
    <w:p w:rsidR="00FF0DAA" w:rsidRDefault="0029045F">
      <w:pPr>
        <w:pStyle w:val="Heading3"/>
        <w:numPr>
          <w:ilvl w:val="2"/>
          <w:numId w:val="6"/>
        </w:numPr>
        <w:spacing w:before="0" w:after="0"/>
      </w:pPr>
      <w:bookmarkStart w:id="25" w:name="_heading=h.1ci93xb" w:colFirst="0" w:colLast="0"/>
      <w:bookmarkEnd w:id="25"/>
      <w:r>
        <w:t>Changes to Registry Data that affect many Registrants</w:t>
      </w:r>
    </w:p>
    <w:p w:rsidR="00FF0DAA" w:rsidRDefault="00FF0DAA">
      <w:pPr>
        <w:ind w:left="1712"/>
      </w:pPr>
    </w:p>
    <w:p w:rsidR="00FF0DAA" w:rsidRDefault="0029045F">
      <w:pPr>
        <w:numPr>
          <w:ilvl w:val="3"/>
          <w:numId w:val="6"/>
        </w:numPr>
        <w:rPr>
          <w:sz w:val="26"/>
          <w:szCs w:val="26"/>
        </w:rPr>
      </w:pPr>
      <w:r>
        <w:rPr>
          <w:sz w:val="24"/>
          <w:szCs w:val="24"/>
        </w:rPr>
        <w:t>The Supplier shall ensure that any Bulk Change can and is only requested or implemented by the Critical Domain Holder or the Supplier itself.</w:t>
      </w:r>
    </w:p>
    <w:p w:rsidR="00FF0DAA" w:rsidRDefault="00FF0DAA">
      <w:pPr>
        <w:ind w:left="2562"/>
        <w:rPr>
          <w:sz w:val="24"/>
          <w:szCs w:val="24"/>
        </w:rPr>
      </w:pPr>
    </w:p>
    <w:p w:rsidR="00FF0DAA" w:rsidRDefault="0029045F">
      <w:pPr>
        <w:numPr>
          <w:ilvl w:val="3"/>
          <w:numId w:val="6"/>
        </w:numPr>
        <w:rPr>
          <w:sz w:val="26"/>
          <w:szCs w:val="26"/>
        </w:rPr>
      </w:pPr>
      <w:r>
        <w:rPr>
          <w:sz w:val="24"/>
          <w:szCs w:val="24"/>
        </w:rPr>
        <w:t>The Supplier shall ensure that a Widely-Impacting Change can and is only requested or implemented by the Critical</w:t>
      </w:r>
      <w:r>
        <w:rPr>
          <w:sz w:val="24"/>
          <w:szCs w:val="24"/>
        </w:rPr>
        <w:t xml:space="preserve"> Domain Holder or the Supplier itself.</w:t>
      </w:r>
      <w:r>
        <w:rPr>
          <w:sz w:val="24"/>
          <w:szCs w:val="24"/>
        </w:rPr>
        <w:br/>
        <w:t xml:space="preserve"> </w:t>
      </w:r>
    </w:p>
    <w:p w:rsidR="00FF0DAA" w:rsidRDefault="0029045F">
      <w:pPr>
        <w:pStyle w:val="Heading3"/>
        <w:numPr>
          <w:ilvl w:val="2"/>
          <w:numId w:val="6"/>
        </w:numPr>
        <w:spacing w:before="0" w:after="0"/>
      </w:pPr>
      <w:bookmarkStart w:id="26" w:name="_heading=h.3whwml4" w:colFirst="0" w:colLast="0"/>
      <w:bookmarkEnd w:id="26"/>
      <w:r>
        <w:t>Emergency Changes</w:t>
      </w:r>
    </w:p>
    <w:p w:rsidR="00FF0DAA" w:rsidRDefault="00FF0DAA"/>
    <w:p w:rsidR="00FF0DAA" w:rsidRDefault="0029045F">
      <w:pPr>
        <w:numPr>
          <w:ilvl w:val="3"/>
          <w:numId w:val="6"/>
        </w:numPr>
        <w:rPr>
          <w:color w:val="000000"/>
        </w:rPr>
      </w:pPr>
      <w:r>
        <w:rPr>
          <w:sz w:val="24"/>
          <w:szCs w:val="24"/>
        </w:rPr>
        <w:t>Where a Change is required urgently to re-establish, or prevent loss of, DNS or DNSSEC proper resolution for the delegated zone, this will be designated as an Emergency Change.</w:t>
      </w:r>
    </w:p>
    <w:p w:rsidR="00FF0DAA" w:rsidRDefault="00FF0DAA">
      <w:pPr>
        <w:ind w:left="2562"/>
        <w:rPr>
          <w:sz w:val="24"/>
          <w:szCs w:val="24"/>
        </w:rPr>
      </w:pPr>
    </w:p>
    <w:p w:rsidR="00FF0DAA" w:rsidRDefault="0029045F">
      <w:pPr>
        <w:numPr>
          <w:ilvl w:val="3"/>
          <w:numId w:val="6"/>
        </w:numPr>
      </w:pPr>
      <w:r>
        <w:rPr>
          <w:sz w:val="24"/>
          <w:szCs w:val="24"/>
        </w:rPr>
        <w:lastRenderedPageBreak/>
        <w:t>The Supplier shall ensure that Emergency Changes can and are only be requested or implemented by the Critical Domain Holder or the Supplier itself.</w:t>
      </w:r>
    </w:p>
    <w:p w:rsidR="00FF0DAA" w:rsidRDefault="00FF0DAA">
      <w:pPr>
        <w:ind w:left="2562"/>
        <w:rPr>
          <w:sz w:val="24"/>
          <w:szCs w:val="24"/>
        </w:rPr>
      </w:pPr>
    </w:p>
    <w:p w:rsidR="00FF0DAA" w:rsidRDefault="0029045F">
      <w:pPr>
        <w:numPr>
          <w:ilvl w:val="3"/>
          <w:numId w:val="6"/>
        </w:numPr>
        <w:rPr>
          <w:sz w:val="24"/>
          <w:szCs w:val="24"/>
        </w:rPr>
      </w:pPr>
      <w:r>
        <w:rPr>
          <w:sz w:val="24"/>
          <w:szCs w:val="24"/>
        </w:rPr>
        <w:t>The Supplier shall deliver a mechanism, to be defined by the Critical Domain Holder for processing Emergenc</w:t>
      </w:r>
      <w:r>
        <w:rPr>
          <w:sz w:val="24"/>
          <w:szCs w:val="24"/>
        </w:rPr>
        <w:t>y Changes with the Critical Domain Holder that ensures strong authentication of the individuals requesting the Emergency Change request, and strong confirmation that the change is valid and technically correct. See response to question 4.10 in Call-Off Sch</w:t>
      </w:r>
      <w:r>
        <w:rPr>
          <w:sz w:val="24"/>
          <w:szCs w:val="24"/>
        </w:rPr>
        <w:t>edule 4 for further details.</w:t>
      </w:r>
    </w:p>
    <w:p w:rsidR="00FF0DAA" w:rsidRDefault="00FF0DAA">
      <w:pPr>
        <w:ind w:left="2562"/>
        <w:rPr>
          <w:sz w:val="24"/>
          <w:szCs w:val="24"/>
        </w:rPr>
      </w:pPr>
    </w:p>
    <w:p w:rsidR="00FF0DAA" w:rsidRDefault="0029045F">
      <w:pPr>
        <w:numPr>
          <w:ilvl w:val="3"/>
          <w:numId w:val="6"/>
        </w:numPr>
      </w:pPr>
      <w:r>
        <w:rPr>
          <w:b/>
          <w:sz w:val="24"/>
          <w:szCs w:val="24"/>
        </w:rPr>
        <w:t>Business Continuity Target:</w:t>
      </w:r>
      <w:r>
        <w:rPr>
          <w:sz w:val="24"/>
          <w:szCs w:val="24"/>
        </w:rPr>
        <w:t xml:space="preserve"> The Supplier shall </w:t>
      </w:r>
      <w:proofErr w:type="gramStart"/>
      <w:r>
        <w:rPr>
          <w:sz w:val="24"/>
          <w:szCs w:val="24"/>
        </w:rPr>
        <w:t>implement  a</w:t>
      </w:r>
      <w:proofErr w:type="gramEnd"/>
      <w:r>
        <w:rPr>
          <w:sz w:val="24"/>
          <w:szCs w:val="24"/>
        </w:rPr>
        <w:t xml:space="preserve"> mechanism for processing Emergency Changes with the Critical Domain Holder that does not depend on the “.</w:t>
      </w:r>
      <w:proofErr w:type="spellStart"/>
      <w:r>
        <w:rPr>
          <w:sz w:val="24"/>
          <w:szCs w:val="24"/>
        </w:rPr>
        <w:t>uk</w:t>
      </w:r>
      <w:proofErr w:type="spellEnd"/>
      <w:r>
        <w:rPr>
          <w:sz w:val="24"/>
          <w:szCs w:val="24"/>
        </w:rPr>
        <w:t xml:space="preserve">” domain being available, and ensures the Emergency Change </w:t>
      </w:r>
      <w:r>
        <w:rPr>
          <w:sz w:val="24"/>
          <w:szCs w:val="24"/>
        </w:rPr>
        <w:t>can be executed within 1 hour of the initial request. See response to question 4.10 in Call-Off Schedule 4 for further details.</w:t>
      </w:r>
    </w:p>
    <w:p w:rsidR="00FF0DAA" w:rsidRDefault="00FF0DAA">
      <w:pPr>
        <w:rPr>
          <w:sz w:val="24"/>
          <w:szCs w:val="24"/>
        </w:rPr>
      </w:pPr>
    </w:p>
    <w:p w:rsidR="00FF0DAA" w:rsidRDefault="0029045F">
      <w:pPr>
        <w:pStyle w:val="Heading2"/>
        <w:numPr>
          <w:ilvl w:val="1"/>
          <w:numId w:val="6"/>
        </w:numPr>
      </w:pPr>
      <w:bookmarkStart w:id="27" w:name="_heading=h.2bn6wsx" w:colFirst="0" w:colLast="0"/>
      <w:bookmarkEnd w:id="27"/>
      <w:r>
        <w:t>Fees from Registrants and Registrars</w:t>
      </w:r>
    </w:p>
    <w:p w:rsidR="00FF0DAA" w:rsidRDefault="0029045F">
      <w:pPr>
        <w:numPr>
          <w:ilvl w:val="2"/>
          <w:numId w:val="6"/>
        </w:numPr>
      </w:pPr>
      <w:r>
        <w:rPr>
          <w:sz w:val="24"/>
          <w:szCs w:val="24"/>
        </w:rPr>
        <w:t xml:space="preserve">The Supplier shall not charge Registrars or Registrants </w:t>
      </w:r>
      <w:proofErr w:type="gramStart"/>
      <w:r>
        <w:rPr>
          <w:sz w:val="24"/>
          <w:szCs w:val="24"/>
        </w:rPr>
        <w:t>for .</w:t>
      </w:r>
      <w:proofErr w:type="gramEnd"/>
      <w:r>
        <w:rPr>
          <w:sz w:val="24"/>
          <w:szCs w:val="24"/>
        </w:rPr>
        <w:t>gov.uk domain names, or the u</w:t>
      </w:r>
      <w:r>
        <w:rPr>
          <w:sz w:val="24"/>
          <w:szCs w:val="24"/>
        </w:rPr>
        <w:t xml:space="preserve">se the .gov.uk Registry service, unless otherwise agreed with the Critical Domain Holder. </w:t>
      </w:r>
    </w:p>
    <w:p w:rsidR="00FF0DAA" w:rsidRDefault="00FF0DAA">
      <w:pPr>
        <w:ind w:left="1712"/>
        <w:rPr>
          <w:sz w:val="24"/>
          <w:szCs w:val="24"/>
        </w:rPr>
      </w:pPr>
    </w:p>
    <w:p w:rsidR="00FF0DAA" w:rsidRDefault="0029045F">
      <w:pPr>
        <w:numPr>
          <w:ilvl w:val="2"/>
          <w:numId w:val="6"/>
        </w:numPr>
      </w:pPr>
      <w:r>
        <w:rPr>
          <w:sz w:val="24"/>
          <w:szCs w:val="24"/>
        </w:rPr>
        <w:t xml:space="preserve">The Supplier shall provide a mechanism to enable the Critical Domain Holder to recover fees from Registrars or Registrants </w:t>
      </w:r>
      <w:proofErr w:type="gramStart"/>
      <w:r>
        <w:rPr>
          <w:sz w:val="24"/>
          <w:szCs w:val="24"/>
        </w:rPr>
        <w:t>for .</w:t>
      </w:r>
      <w:proofErr w:type="gramEnd"/>
      <w:r>
        <w:rPr>
          <w:sz w:val="24"/>
          <w:szCs w:val="24"/>
        </w:rPr>
        <w:t>gov.uk domain names, the use the Res</w:t>
      </w:r>
      <w:r>
        <w:rPr>
          <w:sz w:val="24"/>
          <w:szCs w:val="24"/>
        </w:rPr>
        <w:t xml:space="preserve">ilient .gov.uk Registry Services and the Critical Domain Holder’s Domain Monitoring and Protection Services. </w:t>
      </w:r>
    </w:p>
    <w:p w:rsidR="00FF0DAA" w:rsidRDefault="00FF0DAA">
      <w:pPr>
        <w:ind w:left="1712"/>
        <w:rPr>
          <w:sz w:val="24"/>
          <w:szCs w:val="24"/>
        </w:rPr>
      </w:pPr>
    </w:p>
    <w:p w:rsidR="00FF0DAA" w:rsidRDefault="0029045F">
      <w:pPr>
        <w:numPr>
          <w:ilvl w:val="2"/>
          <w:numId w:val="6"/>
        </w:numPr>
      </w:pPr>
      <w:r>
        <w:rPr>
          <w:sz w:val="24"/>
          <w:szCs w:val="24"/>
        </w:rPr>
        <w:t>The Supplier shall provide advice to the Critical Domain Holder on how best to implement the fee recovery mechanism. The Supplier and the Critica</w:t>
      </w:r>
      <w:r>
        <w:rPr>
          <w:sz w:val="24"/>
          <w:szCs w:val="24"/>
        </w:rPr>
        <w:t xml:space="preserve">l Domain Holder will agree on the nature, timing and </w:t>
      </w:r>
      <w:r>
        <w:rPr>
          <w:sz w:val="24"/>
          <w:szCs w:val="24"/>
        </w:rPr>
        <w:lastRenderedPageBreak/>
        <w:t>charges of the fee recovery mechanism. See response to question 7.4 in Call-Off Schedule 4 for further details.</w:t>
      </w:r>
    </w:p>
    <w:p w:rsidR="00FF0DAA" w:rsidRDefault="0029045F">
      <w:pPr>
        <w:pStyle w:val="Heading2"/>
        <w:numPr>
          <w:ilvl w:val="1"/>
          <w:numId w:val="6"/>
        </w:numPr>
      </w:pPr>
      <w:bookmarkStart w:id="28" w:name="_heading=h.qsh70q" w:colFirst="0" w:colLast="0"/>
      <w:bookmarkEnd w:id="28"/>
      <w:r>
        <w:t>Registrar billing and accounting tools</w:t>
      </w:r>
    </w:p>
    <w:p w:rsidR="00FF0DAA" w:rsidRDefault="0029045F">
      <w:pPr>
        <w:numPr>
          <w:ilvl w:val="2"/>
          <w:numId w:val="6"/>
        </w:numPr>
      </w:pPr>
      <w:r>
        <w:rPr>
          <w:sz w:val="24"/>
          <w:szCs w:val="24"/>
        </w:rPr>
        <w:t>The Supplier shall provide appropriate billing and a</w:t>
      </w:r>
      <w:r>
        <w:rPr>
          <w:sz w:val="24"/>
          <w:szCs w:val="24"/>
        </w:rPr>
        <w:t xml:space="preserve">ccounting tools in place to manage payments </w:t>
      </w:r>
      <w:proofErr w:type="gramStart"/>
      <w:r>
        <w:rPr>
          <w:sz w:val="24"/>
          <w:szCs w:val="24"/>
        </w:rPr>
        <w:t>for .</w:t>
      </w:r>
      <w:proofErr w:type="gramEnd"/>
      <w:r>
        <w:rPr>
          <w:sz w:val="24"/>
          <w:szCs w:val="24"/>
        </w:rPr>
        <w:t>gov.uk domains.</w:t>
      </w:r>
    </w:p>
    <w:p w:rsidR="00FF0DAA" w:rsidRDefault="00FF0DAA">
      <w:pPr>
        <w:ind w:left="1712"/>
        <w:rPr>
          <w:sz w:val="24"/>
          <w:szCs w:val="24"/>
        </w:rPr>
      </w:pPr>
    </w:p>
    <w:p w:rsidR="00FF0DAA" w:rsidRDefault="0029045F">
      <w:pPr>
        <w:numPr>
          <w:ilvl w:val="2"/>
          <w:numId w:val="6"/>
        </w:numPr>
      </w:pPr>
      <w:r>
        <w:rPr>
          <w:sz w:val="24"/>
          <w:szCs w:val="24"/>
        </w:rPr>
        <w:t>The Supplier shall provide a billing mechanism that is capable of charging different prices for different Registrants, as directed by the Critical Domain Holder.</w:t>
      </w:r>
    </w:p>
    <w:p w:rsidR="00FF0DAA" w:rsidRDefault="00FF0DAA">
      <w:pPr>
        <w:ind w:left="1712"/>
        <w:rPr>
          <w:sz w:val="24"/>
          <w:szCs w:val="24"/>
        </w:rPr>
      </w:pPr>
    </w:p>
    <w:p w:rsidR="00FF0DAA" w:rsidRDefault="0029045F">
      <w:pPr>
        <w:numPr>
          <w:ilvl w:val="2"/>
          <w:numId w:val="6"/>
        </w:numPr>
      </w:pPr>
      <w:r>
        <w:rPr>
          <w:sz w:val="24"/>
          <w:szCs w:val="24"/>
        </w:rPr>
        <w:t>The Supplier shall enable Registrars and Registrants to track the billing status of the domains under their management, including the billing and payment status of fees for the Critical Domain Holder’s domain monitoring and protection services.</w:t>
      </w:r>
    </w:p>
    <w:p w:rsidR="00FF0DAA" w:rsidRDefault="00FF0DAA">
      <w:pPr>
        <w:ind w:left="1712"/>
        <w:rPr>
          <w:sz w:val="24"/>
          <w:szCs w:val="24"/>
        </w:rPr>
      </w:pPr>
    </w:p>
    <w:p w:rsidR="00FF0DAA" w:rsidRDefault="0029045F">
      <w:pPr>
        <w:numPr>
          <w:ilvl w:val="2"/>
          <w:numId w:val="6"/>
        </w:numPr>
      </w:pPr>
      <w:r>
        <w:rPr>
          <w:sz w:val="24"/>
          <w:szCs w:val="24"/>
        </w:rPr>
        <w:t>The Suppli</w:t>
      </w:r>
      <w:r>
        <w:rPr>
          <w:sz w:val="24"/>
          <w:szCs w:val="24"/>
        </w:rPr>
        <w:t>er shall enable the Critical Domain Holder and the Supplier to track the billing and payment status for all Registrants and their domains, including the billing and payment status of fees for the Critical Domain Holder’s Domain Monitoring and Protection Se</w:t>
      </w:r>
      <w:r>
        <w:rPr>
          <w:sz w:val="24"/>
          <w:szCs w:val="24"/>
        </w:rPr>
        <w:t>rvices.</w:t>
      </w:r>
    </w:p>
    <w:p w:rsidR="00FF0DAA" w:rsidRDefault="00FF0DAA">
      <w:pPr>
        <w:ind w:firstLine="720"/>
        <w:rPr>
          <w:i/>
          <w:sz w:val="24"/>
          <w:szCs w:val="24"/>
        </w:rPr>
      </w:pPr>
    </w:p>
    <w:p w:rsidR="00FF0DAA" w:rsidRDefault="0029045F">
      <w:pPr>
        <w:rPr>
          <w:sz w:val="24"/>
          <w:szCs w:val="24"/>
        </w:rPr>
      </w:pPr>
      <w:r>
        <w:rPr>
          <w:i/>
          <w:sz w:val="24"/>
          <w:szCs w:val="24"/>
        </w:rPr>
        <w:t>See also Call-Off Schedule 14 for relevant service level requirements</w:t>
      </w:r>
    </w:p>
    <w:p w:rsidR="00FF0DAA" w:rsidRDefault="00FF0DAA">
      <w:pPr>
        <w:rPr>
          <w:sz w:val="24"/>
          <w:szCs w:val="24"/>
        </w:rPr>
      </w:pPr>
    </w:p>
    <w:p w:rsidR="00FF0DAA" w:rsidRDefault="0029045F">
      <w:pPr>
        <w:pStyle w:val="Heading2"/>
        <w:numPr>
          <w:ilvl w:val="1"/>
          <w:numId w:val="6"/>
        </w:numPr>
      </w:pPr>
      <w:bookmarkStart w:id="29" w:name="_heading=h.3as4poj" w:colFirst="0" w:colLast="0"/>
      <w:bookmarkEnd w:id="29"/>
      <w:r>
        <w:t>IDN Tables</w:t>
      </w:r>
    </w:p>
    <w:p w:rsidR="00FF0DAA" w:rsidRDefault="0029045F">
      <w:pPr>
        <w:numPr>
          <w:ilvl w:val="2"/>
          <w:numId w:val="6"/>
        </w:numPr>
      </w:pPr>
      <w:r>
        <w:rPr>
          <w:sz w:val="24"/>
          <w:szCs w:val="24"/>
        </w:rPr>
        <w:t xml:space="preserve">The Supplier shall comply with version 4.1 of the </w:t>
      </w:r>
      <w:hyperlink r:id="rId60">
        <w:r>
          <w:rPr>
            <w:color w:val="4A86E8"/>
            <w:sz w:val="24"/>
            <w:szCs w:val="24"/>
            <w:u w:val="single"/>
          </w:rPr>
          <w:t>ICANN IDN Implemen</w:t>
        </w:r>
        <w:r>
          <w:rPr>
            <w:color w:val="4A86E8"/>
            <w:sz w:val="24"/>
            <w:szCs w:val="24"/>
            <w:u w:val="single"/>
          </w:rPr>
          <w:t>tation Guidelines</w:t>
        </w:r>
      </w:hyperlink>
      <w:r>
        <w:rPr>
          <w:sz w:val="24"/>
          <w:szCs w:val="24"/>
        </w:rPr>
        <w:t xml:space="preserve"> and publish IDN tables in the IANA Repository.</w:t>
      </w:r>
    </w:p>
    <w:p w:rsidR="00FF0DAA" w:rsidRDefault="00FF0DAA">
      <w:pPr>
        <w:ind w:left="1712"/>
        <w:rPr>
          <w:sz w:val="24"/>
          <w:szCs w:val="24"/>
        </w:rPr>
      </w:pPr>
    </w:p>
    <w:p w:rsidR="00FF0DAA" w:rsidRDefault="0029045F">
      <w:pPr>
        <w:numPr>
          <w:ilvl w:val="2"/>
          <w:numId w:val="6"/>
        </w:numPr>
      </w:pPr>
      <w:r>
        <w:rPr>
          <w:sz w:val="24"/>
          <w:szCs w:val="24"/>
        </w:rPr>
        <w:t>Support for recognised, minority or foreign languages used in the UK to be discussed following contract award.</w:t>
      </w:r>
      <w:r>
        <w:br/>
      </w:r>
    </w:p>
    <w:p w:rsidR="00FF0DAA" w:rsidRDefault="0029045F">
      <w:pPr>
        <w:pStyle w:val="Heading2"/>
        <w:numPr>
          <w:ilvl w:val="1"/>
          <w:numId w:val="6"/>
        </w:numPr>
      </w:pPr>
      <w:bookmarkStart w:id="30" w:name="_heading=h.1pxezwc" w:colFirst="0" w:colLast="0"/>
      <w:bookmarkEnd w:id="30"/>
      <w:r>
        <w:lastRenderedPageBreak/>
        <w:t>Domain lifecycle</w:t>
      </w:r>
    </w:p>
    <w:p w:rsidR="00FF0DAA" w:rsidRDefault="0029045F">
      <w:pPr>
        <w:numPr>
          <w:ilvl w:val="2"/>
          <w:numId w:val="6"/>
        </w:numPr>
      </w:pPr>
      <w:r>
        <w:rPr>
          <w:sz w:val="24"/>
          <w:szCs w:val="24"/>
        </w:rPr>
        <w:t xml:space="preserve">The Supplier shall support industry recognised phases in the </w:t>
      </w:r>
      <w:r>
        <w:rPr>
          <w:sz w:val="24"/>
          <w:szCs w:val="24"/>
        </w:rPr>
        <w:t>domain name lifecycle</w:t>
      </w:r>
      <w:r>
        <w:rPr>
          <w:sz w:val="24"/>
          <w:szCs w:val="24"/>
          <w:highlight w:val="white"/>
        </w:rPr>
        <w:t>.</w:t>
      </w:r>
    </w:p>
    <w:p w:rsidR="00FF0DAA" w:rsidRDefault="00FF0DAA">
      <w:pPr>
        <w:ind w:left="1712"/>
        <w:rPr>
          <w:sz w:val="24"/>
          <w:szCs w:val="24"/>
        </w:rPr>
      </w:pPr>
    </w:p>
    <w:p w:rsidR="00FF0DAA" w:rsidRDefault="0029045F">
      <w:pPr>
        <w:numPr>
          <w:ilvl w:val="2"/>
          <w:numId w:val="6"/>
        </w:numPr>
      </w:pPr>
      <w:r>
        <w:rPr>
          <w:sz w:val="24"/>
          <w:szCs w:val="24"/>
        </w:rPr>
        <w:t>The Supplier shall provide support defining and implementing the Critical Domain Holder’s domain lifecycle model. See response to question 7.8 in Call-Off Schedule 4 for further details.</w:t>
      </w:r>
    </w:p>
    <w:p w:rsidR="00FF0DAA" w:rsidRDefault="00FF0DAA">
      <w:pPr>
        <w:ind w:left="1712"/>
        <w:rPr>
          <w:sz w:val="24"/>
          <w:szCs w:val="24"/>
        </w:rPr>
      </w:pPr>
    </w:p>
    <w:p w:rsidR="00FF0DAA" w:rsidRDefault="0029045F">
      <w:pPr>
        <w:numPr>
          <w:ilvl w:val="2"/>
          <w:numId w:val="6"/>
        </w:numPr>
      </w:pPr>
      <w:r>
        <w:rPr>
          <w:sz w:val="24"/>
          <w:szCs w:val="24"/>
        </w:rPr>
        <w:t>The table below illustrates a draft domain l</w:t>
      </w:r>
      <w:r>
        <w:rPr>
          <w:sz w:val="24"/>
          <w:szCs w:val="24"/>
        </w:rPr>
        <w:t>ifecycle for information purposes only:</w:t>
      </w:r>
      <w:r>
        <w:rPr>
          <w:sz w:val="24"/>
          <w:szCs w:val="24"/>
        </w:rPr>
        <w:br/>
      </w:r>
    </w:p>
    <w:tbl>
      <w:tblPr>
        <w:tblStyle w:val="ad"/>
        <w:tblW w:w="9120" w:type="dxa"/>
        <w:tblInd w:w="9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05"/>
        <w:gridCol w:w="1635"/>
        <w:gridCol w:w="1200"/>
        <w:gridCol w:w="1185"/>
        <w:gridCol w:w="3795"/>
      </w:tblGrid>
      <w:tr w:rsidR="00FF0DAA">
        <w:trPr>
          <w:trHeight w:val="315"/>
        </w:trPr>
        <w:tc>
          <w:tcPr>
            <w:tcW w:w="1305" w:type="dxa"/>
            <w:tcBorders>
              <w:top w:val="single" w:sz="6" w:space="0" w:color="000000"/>
              <w:left w:val="single" w:sz="6" w:space="0" w:color="000000"/>
            </w:tcBorders>
            <w:shd w:val="clear" w:color="auto" w:fill="FFFFFF"/>
            <w:tcMar>
              <w:top w:w="40" w:type="dxa"/>
              <w:left w:w="40" w:type="dxa"/>
              <w:bottom w:w="40" w:type="dxa"/>
              <w:right w:w="40" w:type="dxa"/>
            </w:tcMar>
            <w:vAlign w:val="bottom"/>
          </w:tcPr>
          <w:p w:rsidR="00FF0DAA" w:rsidRDefault="0029045F">
            <w:pPr>
              <w:widowControl w:val="0"/>
              <w:rPr>
                <w:color w:val="000000"/>
              </w:rPr>
            </w:pPr>
            <w:r>
              <w:rPr>
                <w:b/>
                <w:color w:val="000000"/>
              </w:rPr>
              <w:t>Day</w:t>
            </w:r>
          </w:p>
        </w:tc>
        <w:tc>
          <w:tcPr>
            <w:tcW w:w="1635" w:type="dxa"/>
            <w:tcBorders>
              <w:top w:val="single" w:sz="6" w:space="0" w:color="000000"/>
            </w:tcBorders>
            <w:shd w:val="clear" w:color="auto" w:fill="FFFFFF"/>
            <w:tcMar>
              <w:top w:w="40" w:type="dxa"/>
              <w:left w:w="40" w:type="dxa"/>
              <w:bottom w:w="40" w:type="dxa"/>
              <w:right w:w="40" w:type="dxa"/>
            </w:tcMar>
            <w:vAlign w:val="bottom"/>
          </w:tcPr>
          <w:p w:rsidR="00FF0DAA" w:rsidRDefault="0029045F">
            <w:pPr>
              <w:widowControl w:val="0"/>
              <w:rPr>
                <w:color w:val="000000"/>
              </w:rPr>
            </w:pPr>
            <w:r>
              <w:rPr>
                <w:b/>
                <w:color w:val="000000"/>
              </w:rPr>
              <w:t>Domain record</w:t>
            </w:r>
          </w:p>
        </w:tc>
        <w:tc>
          <w:tcPr>
            <w:tcW w:w="1200" w:type="dxa"/>
            <w:tcBorders>
              <w:top w:val="single" w:sz="6" w:space="0" w:color="000000"/>
            </w:tcBorders>
            <w:shd w:val="clear" w:color="auto" w:fill="FFFFFF"/>
            <w:tcMar>
              <w:top w:w="40" w:type="dxa"/>
              <w:left w:w="40" w:type="dxa"/>
              <w:bottom w:w="40" w:type="dxa"/>
              <w:right w:w="40" w:type="dxa"/>
            </w:tcMar>
            <w:vAlign w:val="bottom"/>
          </w:tcPr>
          <w:p w:rsidR="00FF0DAA" w:rsidRDefault="0029045F">
            <w:pPr>
              <w:widowControl w:val="0"/>
              <w:rPr>
                <w:color w:val="000000"/>
              </w:rPr>
            </w:pPr>
            <w:r>
              <w:rPr>
                <w:b/>
                <w:color w:val="000000"/>
              </w:rPr>
              <w:t>RDDS (WHOIS/ RDAP) record</w:t>
            </w:r>
          </w:p>
        </w:tc>
        <w:tc>
          <w:tcPr>
            <w:tcW w:w="1185" w:type="dxa"/>
            <w:tcBorders>
              <w:top w:val="single" w:sz="6" w:space="0" w:color="000000"/>
            </w:tcBorders>
            <w:shd w:val="clear" w:color="auto" w:fill="FFFFFF"/>
            <w:tcMar>
              <w:top w:w="40" w:type="dxa"/>
              <w:left w:w="40" w:type="dxa"/>
              <w:bottom w:w="40" w:type="dxa"/>
              <w:right w:w="40" w:type="dxa"/>
            </w:tcMar>
            <w:vAlign w:val="bottom"/>
          </w:tcPr>
          <w:p w:rsidR="00FF0DAA" w:rsidRDefault="0029045F">
            <w:pPr>
              <w:widowControl w:val="0"/>
              <w:rPr>
                <w:color w:val="000000"/>
              </w:rPr>
            </w:pPr>
            <w:r>
              <w:rPr>
                <w:b/>
                <w:color w:val="000000"/>
              </w:rPr>
              <w:t>Status</w:t>
            </w:r>
          </w:p>
        </w:tc>
        <w:tc>
          <w:tcPr>
            <w:tcW w:w="3795" w:type="dxa"/>
            <w:tcBorders>
              <w:top w:val="single" w:sz="6" w:space="0" w:color="000000"/>
              <w:right w:val="single" w:sz="6" w:space="0" w:color="000000"/>
            </w:tcBorders>
            <w:shd w:val="clear" w:color="auto" w:fill="FFFFFF"/>
            <w:tcMar>
              <w:top w:w="40" w:type="dxa"/>
              <w:left w:w="40" w:type="dxa"/>
              <w:bottom w:w="40" w:type="dxa"/>
              <w:right w:w="40" w:type="dxa"/>
            </w:tcMar>
            <w:vAlign w:val="bottom"/>
          </w:tcPr>
          <w:p w:rsidR="00FF0DAA" w:rsidRDefault="0029045F">
            <w:pPr>
              <w:widowControl w:val="0"/>
              <w:rPr>
                <w:color w:val="000000"/>
              </w:rPr>
            </w:pPr>
            <w:r>
              <w:rPr>
                <w:b/>
                <w:color w:val="000000"/>
              </w:rPr>
              <w:t>Action</w:t>
            </w:r>
          </w:p>
        </w:tc>
      </w:tr>
      <w:tr w:rsidR="00FF0DAA">
        <w:trPr>
          <w:trHeight w:val="555"/>
        </w:trPr>
        <w:tc>
          <w:tcPr>
            <w:tcW w:w="1305" w:type="dxa"/>
            <w:tcBorders>
              <w:left w:val="single" w:sz="6" w:space="0" w:color="000000"/>
            </w:tcBorders>
            <w:shd w:val="clear" w:color="auto" w:fill="FFFFFF"/>
            <w:tcMar>
              <w:top w:w="40" w:type="dxa"/>
              <w:left w:w="40" w:type="dxa"/>
              <w:bottom w:w="40" w:type="dxa"/>
              <w:right w:w="40" w:type="dxa"/>
            </w:tcMar>
            <w:vAlign w:val="bottom"/>
          </w:tcPr>
          <w:p w:rsidR="00FF0DAA" w:rsidRDefault="00795979">
            <w:pPr>
              <w:widowControl w:val="0"/>
              <w:rPr>
                <w:color w:val="000000"/>
              </w:rPr>
            </w:pPr>
            <w:r>
              <w:rPr>
                <w:color w:val="000000"/>
              </w:rPr>
              <w:t>REDACTED</w:t>
            </w:r>
            <w:bookmarkStart w:id="31" w:name="_GoBack"/>
            <w:bookmarkEnd w:id="31"/>
          </w:p>
        </w:tc>
        <w:tc>
          <w:tcPr>
            <w:tcW w:w="1635" w:type="dxa"/>
            <w:shd w:val="clear" w:color="auto" w:fill="FFFFFF"/>
            <w:tcMar>
              <w:top w:w="40" w:type="dxa"/>
              <w:left w:w="40" w:type="dxa"/>
              <w:bottom w:w="40" w:type="dxa"/>
              <w:right w:w="40" w:type="dxa"/>
            </w:tcMar>
            <w:vAlign w:val="bottom"/>
          </w:tcPr>
          <w:p w:rsidR="00FF0DAA" w:rsidRDefault="00FF0DAA">
            <w:pPr>
              <w:widowControl w:val="0"/>
              <w:rPr>
                <w:color w:val="000000"/>
              </w:rPr>
            </w:pPr>
          </w:p>
        </w:tc>
        <w:tc>
          <w:tcPr>
            <w:tcW w:w="1200" w:type="dxa"/>
            <w:shd w:val="clear" w:color="auto" w:fill="FFFFFF"/>
            <w:tcMar>
              <w:top w:w="40" w:type="dxa"/>
              <w:left w:w="40" w:type="dxa"/>
              <w:bottom w:w="40" w:type="dxa"/>
              <w:right w:w="40" w:type="dxa"/>
            </w:tcMar>
            <w:vAlign w:val="bottom"/>
          </w:tcPr>
          <w:p w:rsidR="00FF0DAA" w:rsidRDefault="00FF0DAA">
            <w:pPr>
              <w:widowControl w:val="0"/>
              <w:rPr>
                <w:color w:val="000000"/>
              </w:rPr>
            </w:pPr>
          </w:p>
        </w:tc>
        <w:tc>
          <w:tcPr>
            <w:tcW w:w="1185" w:type="dxa"/>
            <w:shd w:val="clear" w:color="auto" w:fill="FFFFFF"/>
            <w:tcMar>
              <w:top w:w="40" w:type="dxa"/>
              <w:left w:w="40" w:type="dxa"/>
              <w:bottom w:w="40" w:type="dxa"/>
              <w:right w:w="40" w:type="dxa"/>
            </w:tcMar>
            <w:vAlign w:val="bottom"/>
          </w:tcPr>
          <w:p w:rsidR="00FF0DAA" w:rsidRDefault="00FF0DAA">
            <w:pPr>
              <w:widowControl w:val="0"/>
              <w:rPr>
                <w:color w:val="000000"/>
              </w:rPr>
            </w:pPr>
          </w:p>
        </w:tc>
        <w:tc>
          <w:tcPr>
            <w:tcW w:w="3795" w:type="dxa"/>
            <w:tcBorders>
              <w:right w:val="single" w:sz="6" w:space="0" w:color="000000"/>
            </w:tcBorders>
            <w:shd w:val="clear" w:color="auto" w:fill="FFFFFF"/>
            <w:tcMar>
              <w:top w:w="40" w:type="dxa"/>
              <w:left w:w="40" w:type="dxa"/>
              <w:bottom w:w="40" w:type="dxa"/>
              <w:right w:w="40" w:type="dxa"/>
            </w:tcMar>
            <w:vAlign w:val="bottom"/>
          </w:tcPr>
          <w:p w:rsidR="00FF0DAA" w:rsidRDefault="00FF0DAA">
            <w:pPr>
              <w:widowControl w:val="0"/>
              <w:rPr>
                <w:color w:val="000000"/>
              </w:rPr>
            </w:pPr>
          </w:p>
        </w:tc>
      </w:tr>
      <w:tr w:rsidR="00FF0DAA">
        <w:trPr>
          <w:trHeight w:val="315"/>
        </w:trPr>
        <w:tc>
          <w:tcPr>
            <w:tcW w:w="1305" w:type="dxa"/>
            <w:tcBorders>
              <w:left w:val="single" w:sz="6" w:space="0" w:color="000000"/>
            </w:tcBorders>
            <w:shd w:val="clear" w:color="auto" w:fill="FFFFFF"/>
            <w:tcMar>
              <w:top w:w="40" w:type="dxa"/>
              <w:left w:w="40" w:type="dxa"/>
              <w:bottom w:w="40" w:type="dxa"/>
              <w:right w:w="40" w:type="dxa"/>
            </w:tcMar>
            <w:vAlign w:val="bottom"/>
          </w:tcPr>
          <w:p w:rsidR="00FF0DAA" w:rsidRDefault="00FF0DAA">
            <w:pPr>
              <w:widowControl w:val="0"/>
              <w:rPr>
                <w:color w:val="000000"/>
              </w:rPr>
            </w:pPr>
          </w:p>
        </w:tc>
        <w:tc>
          <w:tcPr>
            <w:tcW w:w="1635" w:type="dxa"/>
            <w:shd w:val="clear" w:color="auto" w:fill="FFFFFF"/>
            <w:tcMar>
              <w:top w:w="40" w:type="dxa"/>
              <w:left w:w="40" w:type="dxa"/>
              <w:bottom w:w="40" w:type="dxa"/>
              <w:right w:w="40" w:type="dxa"/>
            </w:tcMar>
            <w:vAlign w:val="bottom"/>
          </w:tcPr>
          <w:p w:rsidR="00FF0DAA" w:rsidRDefault="00FF0DAA">
            <w:pPr>
              <w:widowControl w:val="0"/>
              <w:rPr>
                <w:color w:val="000000"/>
              </w:rPr>
            </w:pPr>
          </w:p>
        </w:tc>
        <w:tc>
          <w:tcPr>
            <w:tcW w:w="1200" w:type="dxa"/>
            <w:shd w:val="clear" w:color="auto" w:fill="FFFFFF"/>
            <w:tcMar>
              <w:top w:w="40" w:type="dxa"/>
              <w:left w:w="40" w:type="dxa"/>
              <w:bottom w:w="40" w:type="dxa"/>
              <w:right w:w="40" w:type="dxa"/>
            </w:tcMar>
            <w:vAlign w:val="bottom"/>
          </w:tcPr>
          <w:p w:rsidR="00FF0DAA" w:rsidRDefault="00FF0DAA">
            <w:pPr>
              <w:widowControl w:val="0"/>
              <w:rPr>
                <w:color w:val="000000"/>
              </w:rPr>
            </w:pPr>
          </w:p>
        </w:tc>
        <w:tc>
          <w:tcPr>
            <w:tcW w:w="1185" w:type="dxa"/>
            <w:shd w:val="clear" w:color="auto" w:fill="FFFFFF"/>
            <w:tcMar>
              <w:top w:w="40" w:type="dxa"/>
              <w:left w:w="40" w:type="dxa"/>
              <w:bottom w:w="40" w:type="dxa"/>
              <w:right w:w="40" w:type="dxa"/>
            </w:tcMar>
            <w:vAlign w:val="bottom"/>
          </w:tcPr>
          <w:p w:rsidR="00FF0DAA" w:rsidRDefault="00FF0DAA">
            <w:pPr>
              <w:widowControl w:val="0"/>
              <w:rPr>
                <w:color w:val="000000"/>
              </w:rPr>
            </w:pPr>
          </w:p>
        </w:tc>
        <w:tc>
          <w:tcPr>
            <w:tcW w:w="3795" w:type="dxa"/>
            <w:tcBorders>
              <w:right w:val="single" w:sz="6" w:space="0" w:color="000000"/>
            </w:tcBorders>
            <w:shd w:val="clear" w:color="auto" w:fill="FFFFFF"/>
            <w:tcMar>
              <w:top w:w="40" w:type="dxa"/>
              <w:left w:w="40" w:type="dxa"/>
              <w:bottom w:w="40" w:type="dxa"/>
              <w:right w:w="40" w:type="dxa"/>
            </w:tcMar>
            <w:vAlign w:val="bottom"/>
          </w:tcPr>
          <w:p w:rsidR="00FF0DAA" w:rsidRDefault="00FF0DAA">
            <w:pPr>
              <w:widowControl w:val="0"/>
              <w:rPr>
                <w:color w:val="000000"/>
              </w:rPr>
            </w:pPr>
          </w:p>
        </w:tc>
      </w:tr>
      <w:tr w:rsidR="00FF0DAA">
        <w:trPr>
          <w:trHeight w:val="1035"/>
        </w:trPr>
        <w:tc>
          <w:tcPr>
            <w:tcW w:w="1305" w:type="dxa"/>
            <w:tcBorders>
              <w:left w:val="single" w:sz="6" w:space="0" w:color="000000"/>
            </w:tcBorders>
            <w:shd w:val="clear" w:color="auto" w:fill="FFFFFF"/>
            <w:tcMar>
              <w:top w:w="40" w:type="dxa"/>
              <w:left w:w="40" w:type="dxa"/>
              <w:bottom w:w="40" w:type="dxa"/>
              <w:right w:w="40" w:type="dxa"/>
            </w:tcMar>
            <w:vAlign w:val="bottom"/>
          </w:tcPr>
          <w:p w:rsidR="00FF0DAA" w:rsidRDefault="00FF0DAA">
            <w:pPr>
              <w:widowControl w:val="0"/>
              <w:rPr>
                <w:color w:val="000000"/>
              </w:rPr>
            </w:pPr>
          </w:p>
        </w:tc>
        <w:tc>
          <w:tcPr>
            <w:tcW w:w="1635" w:type="dxa"/>
            <w:shd w:val="clear" w:color="auto" w:fill="FFFFFF"/>
            <w:tcMar>
              <w:top w:w="40" w:type="dxa"/>
              <w:left w:w="40" w:type="dxa"/>
              <w:bottom w:w="40" w:type="dxa"/>
              <w:right w:w="40" w:type="dxa"/>
            </w:tcMar>
            <w:vAlign w:val="bottom"/>
          </w:tcPr>
          <w:p w:rsidR="00FF0DAA" w:rsidRDefault="00FF0DAA">
            <w:pPr>
              <w:widowControl w:val="0"/>
              <w:rPr>
                <w:color w:val="000000"/>
              </w:rPr>
            </w:pPr>
          </w:p>
        </w:tc>
        <w:tc>
          <w:tcPr>
            <w:tcW w:w="1200" w:type="dxa"/>
            <w:shd w:val="clear" w:color="auto" w:fill="FFFFFF"/>
            <w:tcMar>
              <w:top w:w="40" w:type="dxa"/>
              <w:left w:w="40" w:type="dxa"/>
              <w:bottom w:w="40" w:type="dxa"/>
              <w:right w:w="40" w:type="dxa"/>
            </w:tcMar>
            <w:vAlign w:val="bottom"/>
          </w:tcPr>
          <w:p w:rsidR="00FF0DAA" w:rsidRDefault="00FF0DAA">
            <w:pPr>
              <w:widowControl w:val="0"/>
              <w:rPr>
                <w:color w:val="000000"/>
              </w:rPr>
            </w:pPr>
          </w:p>
        </w:tc>
        <w:tc>
          <w:tcPr>
            <w:tcW w:w="1185" w:type="dxa"/>
            <w:shd w:val="clear" w:color="auto" w:fill="FFFFFF"/>
            <w:tcMar>
              <w:top w:w="40" w:type="dxa"/>
              <w:left w:w="40" w:type="dxa"/>
              <w:bottom w:w="40" w:type="dxa"/>
              <w:right w:w="40" w:type="dxa"/>
            </w:tcMar>
            <w:vAlign w:val="bottom"/>
          </w:tcPr>
          <w:p w:rsidR="00FF0DAA" w:rsidRDefault="00FF0DAA">
            <w:pPr>
              <w:widowControl w:val="0"/>
              <w:rPr>
                <w:color w:val="000000"/>
              </w:rPr>
            </w:pPr>
          </w:p>
        </w:tc>
        <w:tc>
          <w:tcPr>
            <w:tcW w:w="3795" w:type="dxa"/>
            <w:tcBorders>
              <w:right w:val="single" w:sz="6" w:space="0" w:color="000000"/>
            </w:tcBorders>
            <w:shd w:val="clear" w:color="auto" w:fill="FFFFFF"/>
            <w:tcMar>
              <w:top w:w="40" w:type="dxa"/>
              <w:left w:w="40" w:type="dxa"/>
              <w:bottom w:w="40" w:type="dxa"/>
              <w:right w:w="40" w:type="dxa"/>
            </w:tcMar>
            <w:vAlign w:val="bottom"/>
          </w:tcPr>
          <w:p w:rsidR="00FF0DAA" w:rsidRDefault="00FF0DAA">
            <w:pPr>
              <w:widowControl w:val="0"/>
              <w:rPr>
                <w:color w:val="000000"/>
              </w:rPr>
            </w:pPr>
          </w:p>
        </w:tc>
      </w:tr>
      <w:tr w:rsidR="00FF0DAA">
        <w:trPr>
          <w:trHeight w:val="555"/>
        </w:trPr>
        <w:tc>
          <w:tcPr>
            <w:tcW w:w="1305" w:type="dxa"/>
            <w:tcBorders>
              <w:left w:val="single" w:sz="6" w:space="0" w:color="000000"/>
            </w:tcBorders>
            <w:shd w:val="clear" w:color="auto" w:fill="FFFFFF"/>
            <w:tcMar>
              <w:top w:w="40" w:type="dxa"/>
              <w:left w:w="40" w:type="dxa"/>
              <w:bottom w:w="40" w:type="dxa"/>
              <w:right w:w="40" w:type="dxa"/>
            </w:tcMar>
            <w:vAlign w:val="bottom"/>
          </w:tcPr>
          <w:p w:rsidR="00FF0DAA" w:rsidRDefault="00FF0DAA">
            <w:pPr>
              <w:widowControl w:val="0"/>
              <w:rPr>
                <w:color w:val="000000"/>
              </w:rPr>
            </w:pPr>
          </w:p>
        </w:tc>
        <w:tc>
          <w:tcPr>
            <w:tcW w:w="1635" w:type="dxa"/>
            <w:shd w:val="clear" w:color="auto" w:fill="FFFFFF"/>
            <w:tcMar>
              <w:top w:w="40" w:type="dxa"/>
              <w:left w:w="40" w:type="dxa"/>
              <w:bottom w:w="40" w:type="dxa"/>
              <w:right w:w="40" w:type="dxa"/>
            </w:tcMar>
            <w:vAlign w:val="bottom"/>
          </w:tcPr>
          <w:p w:rsidR="00FF0DAA" w:rsidRDefault="00FF0DAA">
            <w:pPr>
              <w:widowControl w:val="0"/>
              <w:rPr>
                <w:color w:val="000000"/>
              </w:rPr>
            </w:pPr>
          </w:p>
        </w:tc>
        <w:tc>
          <w:tcPr>
            <w:tcW w:w="1200" w:type="dxa"/>
            <w:shd w:val="clear" w:color="auto" w:fill="FFFFFF"/>
            <w:tcMar>
              <w:top w:w="40" w:type="dxa"/>
              <w:left w:w="40" w:type="dxa"/>
              <w:bottom w:w="40" w:type="dxa"/>
              <w:right w:w="40" w:type="dxa"/>
            </w:tcMar>
            <w:vAlign w:val="bottom"/>
          </w:tcPr>
          <w:p w:rsidR="00FF0DAA" w:rsidRDefault="00FF0DAA">
            <w:pPr>
              <w:widowControl w:val="0"/>
              <w:rPr>
                <w:color w:val="000000"/>
              </w:rPr>
            </w:pPr>
          </w:p>
        </w:tc>
        <w:tc>
          <w:tcPr>
            <w:tcW w:w="1185" w:type="dxa"/>
            <w:shd w:val="clear" w:color="auto" w:fill="FFFFFF"/>
            <w:tcMar>
              <w:top w:w="40" w:type="dxa"/>
              <w:left w:w="40" w:type="dxa"/>
              <w:bottom w:w="40" w:type="dxa"/>
              <w:right w:w="40" w:type="dxa"/>
            </w:tcMar>
            <w:vAlign w:val="bottom"/>
          </w:tcPr>
          <w:p w:rsidR="00FF0DAA" w:rsidRDefault="00FF0DAA">
            <w:pPr>
              <w:widowControl w:val="0"/>
              <w:rPr>
                <w:color w:val="000000"/>
              </w:rPr>
            </w:pPr>
          </w:p>
        </w:tc>
        <w:tc>
          <w:tcPr>
            <w:tcW w:w="3795" w:type="dxa"/>
            <w:tcBorders>
              <w:right w:val="single" w:sz="6" w:space="0" w:color="000000"/>
            </w:tcBorders>
            <w:shd w:val="clear" w:color="auto" w:fill="FFFFFF"/>
            <w:tcMar>
              <w:top w:w="40" w:type="dxa"/>
              <w:left w:w="40" w:type="dxa"/>
              <w:bottom w:w="40" w:type="dxa"/>
              <w:right w:w="40" w:type="dxa"/>
            </w:tcMar>
            <w:vAlign w:val="bottom"/>
          </w:tcPr>
          <w:p w:rsidR="00FF0DAA" w:rsidRDefault="00FF0DAA">
            <w:pPr>
              <w:widowControl w:val="0"/>
              <w:rPr>
                <w:color w:val="000000"/>
              </w:rPr>
            </w:pPr>
          </w:p>
        </w:tc>
      </w:tr>
      <w:tr w:rsidR="00FF0DAA">
        <w:trPr>
          <w:trHeight w:val="555"/>
        </w:trPr>
        <w:tc>
          <w:tcPr>
            <w:tcW w:w="1305" w:type="dxa"/>
            <w:tcBorders>
              <w:left w:val="single" w:sz="6" w:space="0" w:color="000000"/>
            </w:tcBorders>
            <w:shd w:val="clear" w:color="auto" w:fill="FFFFFF"/>
            <w:tcMar>
              <w:top w:w="40" w:type="dxa"/>
              <w:left w:w="40" w:type="dxa"/>
              <w:bottom w:w="40" w:type="dxa"/>
              <w:right w:w="40" w:type="dxa"/>
            </w:tcMar>
            <w:vAlign w:val="bottom"/>
          </w:tcPr>
          <w:p w:rsidR="00FF0DAA" w:rsidRDefault="00FF0DAA">
            <w:pPr>
              <w:widowControl w:val="0"/>
              <w:rPr>
                <w:color w:val="000000"/>
              </w:rPr>
            </w:pPr>
          </w:p>
        </w:tc>
        <w:tc>
          <w:tcPr>
            <w:tcW w:w="1635" w:type="dxa"/>
            <w:shd w:val="clear" w:color="auto" w:fill="FFFFFF"/>
            <w:tcMar>
              <w:top w:w="40" w:type="dxa"/>
              <w:left w:w="40" w:type="dxa"/>
              <w:bottom w:w="40" w:type="dxa"/>
              <w:right w:w="40" w:type="dxa"/>
            </w:tcMar>
            <w:vAlign w:val="bottom"/>
          </w:tcPr>
          <w:p w:rsidR="00FF0DAA" w:rsidRDefault="00FF0DAA">
            <w:pPr>
              <w:widowControl w:val="0"/>
              <w:rPr>
                <w:color w:val="000000"/>
              </w:rPr>
            </w:pPr>
          </w:p>
        </w:tc>
        <w:tc>
          <w:tcPr>
            <w:tcW w:w="1200" w:type="dxa"/>
            <w:shd w:val="clear" w:color="auto" w:fill="FFFFFF"/>
            <w:tcMar>
              <w:top w:w="40" w:type="dxa"/>
              <w:left w:w="40" w:type="dxa"/>
              <w:bottom w:w="40" w:type="dxa"/>
              <w:right w:w="40" w:type="dxa"/>
            </w:tcMar>
            <w:vAlign w:val="bottom"/>
          </w:tcPr>
          <w:p w:rsidR="00FF0DAA" w:rsidRDefault="00FF0DAA">
            <w:pPr>
              <w:widowControl w:val="0"/>
              <w:rPr>
                <w:color w:val="000000"/>
              </w:rPr>
            </w:pPr>
          </w:p>
        </w:tc>
        <w:tc>
          <w:tcPr>
            <w:tcW w:w="1185" w:type="dxa"/>
            <w:shd w:val="clear" w:color="auto" w:fill="FFFFFF"/>
            <w:tcMar>
              <w:top w:w="40" w:type="dxa"/>
              <w:left w:w="40" w:type="dxa"/>
              <w:bottom w:w="40" w:type="dxa"/>
              <w:right w:w="40" w:type="dxa"/>
            </w:tcMar>
            <w:vAlign w:val="bottom"/>
          </w:tcPr>
          <w:p w:rsidR="00FF0DAA" w:rsidRDefault="00FF0DAA">
            <w:pPr>
              <w:widowControl w:val="0"/>
              <w:rPr>
                <w:color w:val="000000"/>
              </w:rPr>
            </w:pPr>
          </w:p>
        </w:tc>
        <w:tc>
          <w:tcPr>
            <w:tcW w:w="3795" w:type="dxa"/>
            <w:tcBorders>
              <w:right w:val="single" w:sz="6" w:space="0" w:color="000000"/>
            </w:tcBorders>
            <w:shd w:val="clear" w:color="auto" w:fill="FFFFFF"/>
            <w:tcMar>
              <w:top w:w="40" w:type="dxa"/>
              <w:left w:w="40" w:type="dxa"/>
              <w:bottom w:w="40" w:type="dxa"/>
              <w:right w:w="40" w:type="dxa"/>
            </w:tcMar>
            <w:vAlign w:val="bottom"/>
          </w:tcPr>
          <w:p w:rsidR="00FF0DAA" w:rsidRDefault="00FF0DAA">
            <w:pPr>
              <w:widowControl w:val="0"/>
              <w:rPr>
                <w:color w:val="000000"/>
              </w:rPr>
            </w:pPr>
          </w:p>
        </w:tc>
      </w:tr>
      <w:tr w:rsidR="00FF0DAA">
        <w:trPr>
          <w:trHeight w:val="555"/>
        </w:trPr>
        <w:tc>
          <w:tcPr>
            <w:tcW w:w="1305" w:type="dxa"/>
            <w:tcBorders>
              <w:left w:val="single" w:sz="6" w:space="0" w:color="000000"/>
            </w:tcBorders>
            <w:shd w:val="clear" w:color="auto" w:fill="FFFFFF"/>
            <w:tcMar>
              <w:top w:w="40" w:type="dxa"/>
              <w:left w:w="40" w:type="dxa"/>
              <w:bottom w:w="40" w:type="dxa"/>
              <w:right w:w="40" w:type="dxa"/>
            </w:tcMar>
            <w:vAlign w:val="bottom"/>
          </w:tcPr>
          <w:p w:rsidR="00FF0DAA" w:rsidRDefault="00FF0DAA">
            <w:pPr>
              <w:widowControl w:val="0"/>
              <w:rPr>
                <w:color w:val="000000"/>
              </w:rPr>
            </w:pPr>
          </w:p>
        </w:tc>
        <w:tc>
          <w:tcPr>
            <w:tcW w:w="1635" w:type="dxa"/>
            <w:shd w:val="clear" w:color="auto" w:fill="FFFFFF"/>
            <w:tcMar>
              <w:top w:w="40" w:type="dxa"/>
              <w:left w:w="40" w:type="dxa"/>
              <w:bottom w:w="40" w:type="dxa"/>
              <w:right w:w="40" w:type="dxa"/>
            </w:tcMar>
            <w:vAlign w:val="bottom"/>
          </w:tcPr>
          <w:p w:rsidR="00FF0DAA" w:rsidRDefault="00FF0DAA">
            <w:pPr>
              <w:widowControl w:val="0"/>
              <w:rPr>
                <w:color w:val="000000"/>
              </w:rPr>
            </w:pPr>
          </w:p>
        </w:tc>
        <w:tc>
          <w:tcPr>
            <w:tcW w:w="1200" w:type="dxa"/>
            <w:shd w:val="clear" w:color="auto" w:fill="FFFFFF"/>
            <w:tcMar>
              <w:top w:w="40" w:type="dxa"/>
              <w:left w:w="40" w:type="dxa"/>
              <w:bottom w:w="40" w:type="dxa"/>
              <w:right w:w="40" w:type="dxa"/>
            </w:tcMar>
            <w:vAlign w:val="bottom"/>
          </w:tcPr>
          <w:p w:rsidR="00FF0DAA" w:rsidRDefault="00FF0DAA">
            <w:pPr>
              <w:widowControl w:val="0"/>
              <w:rPr>
                <w:color w:val="000000"/>
              </w:rPr>
            </w:pPr>
          </w:p>
        </w:tc>
        <w:tc>
          <w:tcPr>
            <w:tcW w:w="1185" w:type="dxa"/>
            <w:shd w:val="clear" w:color="auto" w:fill="FFFFFF"/>
            <w:tcMar>
              <w:top w:w="40" w:type="dxa"/>
              <w:left w:w="40" w:type="dxa"/>
              <w:bottom w:w="40" w:type="dxa"/>
              <w:right w:w="40" w:type="dxa"/>
            </w:tcMar>
            <w:vAlign w:val="bottom"/>
          </w:tcPr>
          <w:p w:rsidR="00FF0DAA" w:rsidRDefault="00FF0DAA">
            <w:pPr>
              <w:widowControl w:val="0"/>
              <w:rPr>
                <w:color w:val="000000"/>
              </w:rPr>
            </w:pPr>
          </w:p>
        </w:tc>
        <w:tc>
          <w:tcPr>
            <w:tcW w:w="3795" w:type="dxa"/>
            <w:tcBorders>
              <w:right w:val="single" w:sz="6" w:space="0" w:color="000000"/>
            </w:tcBorders>
            <w:shd w:val="clear" w:color="auto" w:fill="FFFFFF"/>
            <w:tcMar>
              <w:top w:w="40" w:type="dxa"/>
              <w:left w:w="40" w:type="dxa"/>
              <w:bottom w:w="40" w:type="dxa"/>
              <w:right w:w="40" w:type="dxa"/>
            </w:tcMar>
            <w:vAlign w:val="bottom"/>
          </w:tcPr>
          <w:p w:rsidR="00FF0DAA" w:rsidRDefault="00FF0DAA">
            <w:pPr>
              <w:widowControl w:val="0"/>
              <w:rPr>
                <w:color w:val="000000"/>
              </w:rPr>
            </w:pPr>
          </w:p>
        </w:tc>
      </w:tr>
      <w:tr w:rsidR="00FF0DAA">
        <w:trPr>
          <w:trHeight w:val="510"/>
        </w:trPr>
        <w:tc>
          <w:tcPr>
            <w:tcW w:w="1305" w:type="dxa"/>
            <w:tcBorders>
              <w:left w:val="single" w:sz="6" w:space="0" w:color="000000"/>
            </w:tcBorders>
            <w:shd w:val="clear" w:color="auto" w:fill="FFFFFF"/>
            <w:tcMar>
              <w:top w:w="40" w:type="dxa"/>
              <w:left w:w="40" w:type="dxa"/>
              <w:bottom w:w="40" w:type="dxa"/>
              <w:right w:w="40" w:type="dxa"/>
            </w:tcMar>
            <w:vAlign w:val="bottom"/>
          </w:tcPr>
          <w:p w:rsidR="00FF0DAA" w:rsidRDefault="00FF0DAA">
            <w:pPr>
              <w:widowControl w:val="0"/>
              <w:rPr>
                <w:color w:val="000000"/>
              </w:rPr>
            </w:pPr>
            <w:bookmarkStart w:id="32" w:name="_heading=h.1jlao46" w:colFirst="0" w:colLast="0"/>
            <w:bookmarkEnd w:id="32"/>
          </w:p>
        </w:tc>
        <w:tc>
          <w:tcPr>
            <w:tcW w:w="1635" w:type="dxa"/>
            <w:shd w:val="clear" w:color="auto" w:fill="FFFFFF"/>
            <w:tcMar>
              <w:top w:w="40" w:type="dxa"/>
              <w:left w:w="40" w:type="dxa"/>
              <w:bottom w:w="40" w:type="dxa"/>
              <w:right w:w="40" w:type="dxa"/>
            </w:tcMar>
            <w:vAlign w:val="bottom"/>
          </w:tcPr>
          <w:p w:rsidR="00FF0DAA" w:rsidRDefault="00FF0DAA">
            <w:pPr>
              <w:widowControl w:val="0"/>
              <w:rPr>
                <w:color w:val="000000"/>
              </w:rPr>
            </w:pPr>
          </w:p>
        </w:tc>
        <w:tc>
          <w:tcPr>
            <w:tcW w:w="1200" w:type="dxa"/>
            <w:shd w:val="clear" w:color="auto" w:fill="FFFFFF"/>
            <w:tcMar>
              <w:top w:w="40" w:type="dxa"/>
              <w:left w:w="40" w:type="dxa"/>
              <w:bottom w:w="40" w:type="dxa"/>
              <w:right w:w="40" w:type="dxa"/>
            </w:tcMar>
            <w:vAlign w:val="bottom"/>
          </w:tcPr>
          <w:p w:rsidR="00FF0DAA" w:rsidRDefault="00FF0DAA">
            <w:pPr>
              <w:widowControl w:val="0"/>
              <w:rPr>
                <w:color w:val="000000"/>
              </w:rPr>
            </w:pPr>
          </w:p>
        </w:tc>
        <w:tc>
          <w:tcPr>
            <w:tcW w:w="1185" w:type="dxa"/>
            <w:shd w:val="clear" w:color="auto" w:fill="FFFFFF"/>
            <w:tcMar>
              <w:top w:w="40" w:type="dxa"/>
              <w:left w:w="40" w:type="dxa"/>
              <w:bottom w:w="40" w:type="dxa"/>
              <w:right w:w="40" w:type="dxa"/>
            </w:tcMar>
            <w:vAlign w:val="bottom"/>
          </w:tcPr>
          <w:p w:rsidR="00FF0DAA" w:rsidRDefault="00FF0DAA">
            <w:pPr>
              <w:widowControl w:val="0"/>
              <w:rPr>
                <w:color w:val="000000"/>
              </w:rPr>
            </w:pPr>
          </w:p>
        </w:tc>
        <w:tc>
          <w:tcPr>
            <w:tcW w:w="3795"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FF0DAA" w:rsidRDefault="00FF0DAA">
            <w:pPr>
              <w:widowControl w:val="0"/>
              <w:rPr>
                <w:color w:val="000000"/>
              </w:rPr>
            </w:pPr>
          </w:p>
        </w:tc>
      </w:tr>
    </w:tbl>
    <w:p w:rsidR="00FF0DAA" w:rsidRDefault="00FF0DAA">
      <w:pPr>
        <w:ind w:left="1145"/>
        <w:rPr>
          <w:sz w:val="24"/>
          <w:szCs w:val="24"/>
        </w:rPr>
      </w:pPr>
    </w:p>
    <w:p w:rsidR="00FF0DAA" w:rsidRDefault="0029045F">
      <w:pPr>
        <w:numPr>
          <w:ilvl w:val="2"/>
          <w:numId w:val="6"/>
        </w:numPr>
      </w:pPr>
      <w:r>
        <w:rPr>
          <w:sz w:val="24"/>
          <w:szCs w:val="24"/>
        </w:rPr>
        <w:t>The Supplier shall support changes to Critical Domain Holder’s domain lifecycle (as defined and implemented pursuant to paragraph 4.5.1 above) from time to time.</w:t>
      </w:r>
    </w:p>
    <w:p w:rsidR="00FF0DAA" w:rsidRDefault="0029045F">
      <w:pPr>
        <w:pStyle w:val="Heading2"/>
        <w:numPr>
          <w:ilvl w:val="1"/>
          <w:numId w:val="6"/>
        </w:numPr>
      </w:pPr>
      <w:bookmarkStart w:id="33" w:name="_heading=h.49x2ik5" w:colFirst="0" w:colLast="0"/>
      <w:bookmarkEnd w:id="33"/>
      <w:r>
        <w:lastRenderedPageBreak/>
        <w:t>ID verification checks</w:t>
      </w:r>
    </w:p>
    <w:p w:rsidR="00FF0DAA" w:rsidRDefault="0029045F">
      <w:pPr>
        <w:numPr>
          <w:ilvl w:val="2"/>
          <w:numId w:val="6"/>
        </w:numPr>
      </w:pPr>
      <w:r>
        <w:rPr>
          <w:sz w:val="24"/>
          <w:szCs w:val="24"/>
        </w:rPr>
        <w:t xml:space="preserve">The Critical Domain Holder will perform the ID verification checks of prospective Registrants and the individuals from the Registrants applying </w:t>
      </w:r>
      <w:proofErr w:type="gramStart"/>
      <w:r>
        <w:rPr>
          <w:sz w:val="24"/>
          <w:szCs w:val="24"/>
        </w:rPr>
        <w:t>for .</w:t>
      </w:r>
      <w:proofErr w:type="gramEnd"/>
      <w:r>
        <w:rPr>
          <w:sz w:val="24"/>
          <w:szCs w:val="24"/>
        </w:rPr>
        <w:t>gov.uk domain names.</w:t>
      </w:r>
      <w:r>
        <w:rPr>
          <w:sz w:val="24"/>
          <w:szCs w:val="24"/>
        </w:rPr>
        <w:br/>
      </w:r>
    </w:p>
    <w:p w:rsidR="00FF0DAA" w:rsidRDefault="0029045F">
      <w:pPr>
        <w:numPr>
          <w:ilvl w:val="2"/>
          <w:numId w:val="6"/>
        </w:numPr>
      </w:pPr>
      <w:r>
        <w:rPr>
          <w:sz w:val="24"/>
          <w:szCs w:val="24"/>
        </w:rPr>
        <w:t>The Supplier shall retain records of the ID verification checks performed by the Crit</w:t>
      </w:r>
      <w:r>
        <w:rPr>
          <w:sz w:val="24"/>
          <w:szCs w:val="24"/>
        </w:rPr>
        <w:t>ical Domain Holder.</w:t>
      </w:r>
      <w:r>
        <w:rPr>
          <w:sz w:val="24"/>
          <w:szCs w:val="24"/>
        </w:rPr>
        <w:br/>
      </w:r>
    </w:p>
    <w:p w:rsidR="00FF0DAA" w:rsidRDefault="0029045F">
      <w:pPr>
        <w:numPr>
          <w:ilvl w:val="2"/>
          <w:numId w:val="6"/>
        </w:numPr>
      </w:pPr>
      <w:r>
        <w:rPr>
          <w:sz w:val="24"/>
          <w:szCs w:val="24"/>
        </w:rPr>
        <w:t xml:space="preserve">The Supplier shall only issue </w:t>
      </w:r>
      <w:proofErr w:type="gramStart"/>
      <w:r>
        <w:rPr>
          <w:sz w:val="24"/>
          <w:szCs w:val="24"/>
        </w:rPr>
        <w:t>a .</w:t>
      </w:r>
      <w:proofErr w:type="gramEnd"/>
      <w:r>
        <w:rPr>
          <w:sz w:val="24"/>
          <w:szCs w:val="24"/>
        </w:rPr>
        <w:t>gov.uk domain name after being told by the Critical Domain Holder to do so.</w:t>
      </w:r>
    </w:p>
    <w:p w:rsidR="00FF0DAA" w:rsidRDefault="00FF0DAA">
      <w:pPr>
        <w:spacing w:after="200"/>
        <w:rPr>
          <w:sz w:val="24"/>
          <w:szCs w:val="24"/>
        </w:rPr>
      </w:pPr>
    </w:p>
    <w:p w:rsidR="00FF0DAA" w:rsidRDefault="0029045F">
      <w:pPr>
        <w:pStyle w:val="Heading2"/>
        <w:numPr>
          <w:ilvl w:val="1"/>
          <w:numId w:val="6"/>
        </w:numPr>
      </w:pPr>
      <w:bookmarkStart w:id="34" w:name="_heading=h.2p2csry" w:colFirst="0" w:colLast="0"/>
      <w:bookmarkEnd w:id="34"/>
      <w:r>
        <w:t xml:space="preserve">Registry Lock </w:t>
      </w:r>
    </w:p>
    <w:p w:rsidR="00FF0DAA" w:rsidRDefault="0029045F">
      <w:pPr>
        <w:numPr>
          <w:ilvl w:val="2"/>
          <w:numId w:val="6"/>
        </w:numPr>
      </w:pPr>
      <w:r>
        <w:rPr>
          <w:sz w:val="24"/>
          <w:szCs w:val="24"/>
        </w:rPr>
        <w:t xml:space="preserve">The Supplier shall provide a Registry Lock Service to allow Registrars to place a registry lock on all domain names at the point of registration. The Registry Lock Service shall prevent unauthorised users from amending Registry Data and standard registrar </w:t>
      </w:r>
      <w:r>
        <w:rPr>
          <w:sz w:val="24"/>
          <w:szCs w:val="24"/>
        </w:rPr>
        <w:t xml:space="preserve">API functions from modifying the state of the domain name as per the </w:t>
      </w:r>
      <w:hyperlink r:id="rId61">
        <w:r>
          <w:rPr>
            <w:color w:val="1155CC"/>
            <w:sz w:val="24"/>
            <w:szCs w:val="24"/>
            <w:u w:val="single"/>
          </w:rPr>
          <w:t>ICANN standard EPP Status Codes</w:t>
        </w:r>
      </w:hyperlink>
      <w:r>
        <w:rPr>
          <w:sz w:val="24"/>
          <w:szCs w:val="24"/>
        </w:rPr>
        <w:t>. See response to question 7.1 in Call-Off Schedule 4 for further de</w:t>
      </w:r>
      <w:r>
        <w:rPr>
          <w:sz w:val="24"/>
          <w:szCs w:val="24"/>
        </w:rPr>
        <w:t>tails.</w:t>
      </w:r>
    </w:p>
    <w:p w:rsidR="00FF0DAA" w:rsidRDefault="00FF0DAA">
      <w:pPr>
        <w:ind w:left="1712"/>
        <w:rPr>
          <w:sz w:val="24"/>
          <w:szCs w:val="24"/>
        </w:rPr>
      </w:pPr>
    </w:p>
    <w:p w:rsidR="00FF0DAA" w:rsidRDefault="0029045F">
      <w:pPr>
        <w:numPr>
          <w:ilvl w:val="2"/>
          <w:numId w:val="6"/>
        </w:numPr>
      </w:pPr>
      <w:r>
        <w:rPr>
          <w:sz w:val="24"/>
          <w:szCs w:val="24"/>
        </w:rPr>
        <w:t xml:space="preserve">The Supplier shall support the Critical Domain Holder’s process for signing up to the Registry Lock Service. The current process is described at the following link: </w:t>
      </w:r>
      <w:hyperlink r:id="rId62" w:anchor="make-sure-your-domains-are-registry-locked">
        <w:r>
          <w:rPr>
            <w:color w:val="1155CC"/>
            <w:sz w:val="24"/>
            <w:szCs w:val="24"/>
            <w:u w:val="single"/>
          </w:rPr>
          <w:t>Make sure your domains are registry locked</w:t>
        </w:r>
      </w:hyperlink>
      <w:r>
        <w:rPr>
          <w:sz w:val="24"/>
          <w:szCs w:val="24"/>
        </w:rPr>
        <w:t>. See response to question 7.1 in Call-Off Schedule 4 for further details.</w:t>
      </w:r>
    </w:p>
    <w:p w:rsidR="00FF0DAA" w:rsidRDefault="00FF0DAA">
      <w:pPr>
        <w:ind w:left="1712"/>
        <w:rPr>
          <w:sz w:val="24"/>
          <w:szCs w:val="24"/>
        </w:rPr>
      </w:pPr>
    </w:p>
    <w:p w:rsidR="00FF0DAA" w:rsidRDefault="0029045F">
      <w:pPr>
        <w:numPr>
          <w:ilvl w:val="2"/>
          <w:numId w:val="6"/>
        </w:numPr>
      </w:pPr>
      <w:r>
        <w:rPr>
          <w:sz w:val="24"/>
          <w:szCs w:val="24"/>
        </w:rPr>
        <w:t xml:space="preserve">The Supplier shall provide guidance for </w:t>
      </w:r>
      <w:r>
        <w:rPr>
          <w:sz w:val="24"/>
          <w:szCs w:val="24"/>
        </w:rPr>
        <w:t xml:space="preserve">Registrants to set up and use the Registry Lock Service, including a secure mechanism to recover from loss of the authorising contact. See response to question 7.1 in Call-Off Schedule 4 for further details. </w:t>
      </w:r>
    </w:p>
    <w:p w:rsidR="00FF0DAA" w:rsidRDefault="00FF0DAA">
      <w:pPr>
        <w:rPr>
          <w:sz w:val="24"/>
          <w:szCs w:val="24"/>
        </w:rPr>
      </w:pPr>
    </w:p>
    <w:p w:rsidR="00FF0DAA" w:rsidRDefault="0029045F">
      <w:pPr>
        <w:ind w:firstLine="720"/>
        <w:rPr>
          <w:sz w:val="24"/>
          <w:szCs w:val="24"/>
        </w:rPr>
      </w:pPr>
      <w:r>
        <w:rPr>
          <w:i/>
          <w:sz w:val="24"/>
          <w:szCs w:val="24"/>
        </w:rPr>
        <w:t>See also Call-Off Schedule 14 for relevant ser</w:t>
      </w:r>
      <w:r>
        <w:rPr>
          <w:i/>
          <w:sz w:val="24"/>
          <w:szCs w:val="24"/>
        </w:rPr>
        <w:t>vice level requirements</w:t>
      </w:r>
    </w:p>
    <w:p w:rsidR="00FF0DAA" w:rsidRDefault="00FF0DAA">
      <w:pPr>
        <w:rPr>
          <w:sz w:val="24"/>
          <w:szCs w:val="24"/>
        </w:rPr>
      </w:pPr>
    </w:p>
    <w:p w:rsidR="00FF0DAA" w:rsidRDefault="0029045F">
      <w:pPr>
        <w:pStyle w:val="Heading1"/>
        <w:numPr>
          <w:ilvl w:val="0"/>
          <w:numId w:val="6"/>
        </w:numPr>
      </w:pPr>
      <w:bookmarkStart w:id="35" w:name="_heading=h.147n2zr" w:colFirst="0" w:colLast="0"/>
      <w:bookmarkEnd w:id="35"/>
      <w:r>
        <w:lastRenderedPageBreak/>
        <w:t>Registrar services</w:t>
      </w:r>
    </w:p>
    <w:p w:rsidR="00FF0DAA" w:rsidRDefault="0029045F">
      <w:pPr>
        <w:pStyle w:val="Heading2"/>
        <w:widowControl w:val="0"/>
        <w:numPr>
          <w:ilvl w:val="1"/>
          <w:numId w:val="6"/>
        </w:numPr>
      </w:pPr>
      <w:bookmarkStart w:id="36" w:name="_heading=h.3o7alnk" w:colFirst="0" w:colLast="0"/>
      <w:bookmarkEnd w:id="36"/>
      <w:r>
        <w:t>Registrar of last resort</w:t>
      </w:r>
    </w:p>
    <w:p w:rsidR="00FF0DAA" w:rsidRDefault="0029045F">
      <w:pPr>
        <w:widowControl w:val="0"/>
        <w:numPr>
          <w:ilvl w:val="2"/>
          <w:numId w:val="6"/>
        </w:numPr>
      </w:pPr>
      <w:r>
        <w:rPr>
          <w:sz w:val="24"/>
          <w:szCs w:val="24"/>
        </w:rPr>
        <w:t>The Supplier shall provide a Registrar of last resort function:</w:t>
      </w:r>
    </w:p>
    <w:p w:rsidR="00FF0DAA" w:rsidRDefault="00FF0DAA">
      <w:pPr>
        <w:widowControl w:val="0"/>
        <w:ind w:left="1712"/>
        <w:rPr>
          <w:sz w:val="24"/>
          <w:szCs w:val="24"/>
        </w:rPr>
      </w:pPr>
    </w:p>
    <w:p w:rsidR="00FF0DAA" w:rsidRDefault="0029045F">
      <w:pPr>
        <w:widowControl w:val="0"/>
        <w:numPr>
          <w:ilvl w:val="3"/>
          <w:numId w:val="6"/>
        </w:numPr>
      </w:pPr>
      <w:r>
        <w:rPr>
          <w:sz w:val="24"/>
          <w:szCs w:val="24"/>
        </w:rPr>
        <w:t xml:space="preserve">For the </w:t>
      </w:r>
      <w:r>
        <w:rPr>
          <w:sz w:val="24"/>
          <w:szCs w:val="24"/>
          <w:highlight w:val="white"/>
        </w:rPr>
        <w:t>Critical Domain Holder</w:t>
      </w:r>
      <w:r>
        <w:rPr>
          <w:sz w:val="24"/>
          <w:szCs w:val="24"/>
        </w:rPr>
        <w:t xml:space="preserve"> when it is the Registrant of last resort, for example, for domains whose original Registran</w:t>
      </w:r>
      <w:r>
        <w:rPr>
          <w:sz w:val="24"/>
          <w:szCs w:val="24"/>
        </w:rPr>
        <w:t>t has been lost or is not known and;</w:t>
      </w:r>
    </w:p>
    <w:p w:rsidR="00FF0DAA" w:rsidRDefault="00FF0DAA">
      <w:pPr>
        <w:widowControl w:val="0"/>
        <w:ind w:left="2562"/>
        <w:rPr>
          <w:sz w:val="24"/>
          <w:szCs w:val="24"/>
        </w:rPr>
      </w:pPr>
    </w:p>
    <w:p w:rsidR="00FF0DAA" w:rsidRDefault="0029045F">
      <w:pPr>
        <w:widowControl w:val="0"/>
        <w:numPr>
          <w:ilvl w:val="3"/>
          <w:numId w:val="6"/>
        </w:numPr>
      </w:pPr>
      <w:r>
        <w:rPr>
          <w:sz w:val="24"/>
          <w:szCs w:val="24"/>
        </w:rPr>
        <w:t xml:space="preserve">As a temporary measure for Registrants whose Registrar is no longer operating or is no longer </w:t>
      </w:r>
      <w:proofErr w:type="gramStart"/>
      <w:r>
        <w:rPr>
          <w:sz w:val="24"/>
          <w:szCs w:val="24"/>
        </w:rPr>
        <w:t>a .</w:t>
      </w:r>
      <w:proofErr w:type="gramEnd"/>
      <w:r>
        <w:rPr>
          <w:sz w:val="24"/>
          <w:szCs w:val="24"/>
        </w:rPr>
        <w:t>gov.uk Approved Registrar. Where this is the case, the Supplier shall support the Registrant to find a new Registrar.</w:t>
      </w:r>
    </w:p>
    <w:p w:rsidR="00FF0DAA" w:rsidRDefault="00FF0DAA">
      <w:pPr>
        <w:widowControl w:val="0"/>
        <w:rPr>
          <w:sz w:val="24"/>
          <w:szCs w:val="24"/>
        </w:rPr>
      </w:pPr>
    </w:p>
    <w:p w:rsidR="00FF0DAA" w:rsidRDefault="0029045F">
      <w:pPr>
        <w:numPr>
          <w:ilvl w:val="2"/>
          <w:numId w:val="6"/>
        </w:numPr>
      </w:pPr>
      <w:r>
        <w:rPr>
          <w:sz w:val="24"/>
          <w:szCs w:val="24"/>
        </w:rPr>
        <w:t>Th</w:t>
      </w:r>
      <w:r>
        <w:rPr>
          <w:sz w:val="24"/>
          <w:szCs w:val="24"/>
        </w:rPr>
        <w:t xml:space="preserve">e Supplier shall ensure that it has the capability to take control of </w:t>
      </w:r>
      <w:proofErr w:type="gramStart"/>
      <w:r>
        <w:rPr>
          <w:sz w:val="24"/>
          <w:szCs w:val="24"/>
        </w:rPr>
        <w:t>a .</w:t>
      </w:r>
      <w:proofErr w:type="gramEnd"/>
      <w:r>
        <w:rPr>
          <w:sz w:val="24"/>
          <w:szCs w:val="24"/>
        </w:rPr>
        <w:t>gov.uk domain name, and temporarily hold it, should this be requested by the Critical Domain Holder. See response to question 8.1 in Call-Off Schedule 4 for further details.</w:t>
      </w:r>
      <w:r>
        <w:rPr>
          <w:sz w:val="24"/>
          <w:szCs w:val="24"/>
        </w:rPr>
        <w:br/>
      </w:r>
    </w:p>
    <w:p w:rsidR="00FF0DAA" w:rsidRDefault="0029045F">
      <w:pPr>
        <w:numPr>
          <w:ilvl w:val="2"/>
          <w:numId w:val="6"/>
        </w:numPr>
      </w:pPr>
      <w:r>
        <w:rPr>
          <w:sz w:val="24"/>
          <w:szCs w:val="24"/>
        </w:rPr>
        <w:t>The Supp</w:t>
      </w:r>
      <w:r>
        <w:rPr>
          <w:sz w:val="24"/>
          <w:szCs w:val="24"/>
        </w:rPr>
        <w:t xml:space="preserve">lier shall have the capability to transfer </w:t>
      </w:r>
      <w:proofErr w:type="gramStart"/>
      <w:r>
        <w:rPr>
          <w:sz w:val="24"/>
          <w:szCs w:val="24"/>
        </w:rPr>
        <w:t>a .</w:t>
      </w:r>
      <w:proofErr w:type="gramEnd"/>
      <w:r>
        <w:rPr>
          <w:sz w:val="24"/>
          <w:szCs w:val="24"/>
        </w:rPr>
        <w:t>gov.uk domain name from one Registrar to another should this be requested by the Critical Domain Holder or Registrant.</w:t>
      </w:r>
    </w:p>
    <w:p w:rsidR="00FF0DAA" w:rsidRDefault="00FF0DAA">
      <w:pPr>
        <w:ind w:left="1712"/>
        <w:rPr>
          <w:sz w:val="24"/>
          <w:szCs w:val="24"/>
        </w:rPr>
      </w:pPr>
    </w:p>
    <w:p w:rsidR="00FF0DAA" w:rsidRDefault="0029045F">
      <w:pPr>
        <w:pStyle w:val="Heading2"/>
        <w:widowControl w:val="0"/>
        <w:numPr>
          <w:ilvl w:val="1"/>
          <w:numId w:val="6"/>
        </w:numPr>
        <w:pBdr>
          <w:top w:val="nil"/>
          <w:left w:val="nil"/>
          <w:bottom w:val="nil"/>
          <w:right w:val="nil"/>
          <w:between w:val="nil"/>
        </w:pBdr>
        <w:spacing w:before="0"/>
      </w:pPr>
      <w:bookmarkStart w:id="37" w:name="_heading=h.23ckvvd" w:colFirst="0" w:colLast="0"/>
      <w:bookmarkEnd w:id="37"/>
      <w:r>
        <w:t xml:space="preserve">Being </w:t>
      </w:r>
      <w:proofErr w:type="gramStart"/>
      <w:r>
        <w:t>a .</w:t>
      </w:r>
      <w:proofErr w:type="gramEnd"/>
      <w:r>
        <w:t>gov.uk Registrar</w:t>
      </w:r>
    </w:p>
    <w:p w:rsidR="00FF0DAA" w:rsidRDefault="0029045F">
      <w:pPr>
        <w:widowControl w:val="0"/>
        <w:numPr>
          <w:ilvl w:val="2"/>
          <w:numId w:val="6"/>
        </w:numPr>
      </w:pPr>
      <w:r>
        <w:rPr>
          <w:sz w:val="24"/>
          <w:szCs w:val="24"/>
        </w:rPr>
        <w:t xml:space="preserve">If the Supplier chooses to provide commercial registrar services </w:t>
      </w:r>
      <w:proofErr w:type="gramStart"/>
      <w:r>
        <w:rPr>
          <w:sz w:val="24"/>
          <w:szCs w:val="24"/>
        </w:rPr>
        <w:t>for .</w:t>
      </w:r>
      <w:proofErr w:type="gramEnd"/>
      <w:r>
        <w:rPr>
          <w:sz w:val="24"/>
          <w:szCs w:val="24"/>
        </w:rPr>
        <w:t>gov.uk domain names:</w:t>
      </w:r>
    </w:p>
    <w:p w:rsidR="00FF0DAA" w:rsidRDefault="0029045F">
      <w:pPr>
        <w:numPr>
          <w:ilvl w:val="3"/>
          <w:numId w:val="6"/>
        </w:numPr>
        <w:spacing w:before="200" w:after="200"/>
      </w:pPr>
      <w:r>
        <w:rPr>
          <w:sz w:val="24"/>
          <w:szCs w:val="24"/>
        </w:rPr>
        <w:t>The Supplier shall ensure that there is separation of duties between its operations as a Registry Operator and its operations as a commercial Registrar and;</w:t>
      </w:r>
    </w:p>
    <w:p w:rsidR="00FF0DAA" w:rsidRDefault="0029045F">
      <w:pPr>
        <w:numPr>
          <w:ilvl w:val="3"/>
          <w:numId w:val="6"/>
        </w:numPr>
        <w:spacing w:before="200" w:after="200"/>
      </w:pPr>
      <w:r>
        <w:rPr>
          <w:sz w:val="24"/>
          <w:szCs w:val="24"/>
        </w:rPr>
        <w:t>The Supp</w:t>
      </w:r>
      <w:r>
        <w:rPr>
          <w:sz w:val="24"/>
          <w:szCs w:val="24"/>
        </w:rPr>
        <w:t xml:space="preserve">lier shall treat its own commercial Registrar in the same way as it treats any other Registrar, including by having a signed Registry Registrar Agreement containing the </w:t>
      </w:r>
      <w:hyperlink r:id="rId63">
        <w:r>
          <w:rPr>
            <w:color w:val="1155CC"/>
            <w:sz w:val="24"/>
            <w:szCs w:val="24"/>
            <w:u w:val="single"/>
          </w:rPr>
          <w:t>Ad</w:t>
        </w:r>
        <w:r>
          <w:rPr>
            <w:color w:val="1155CC"/>
            <w:sz w:val="24"/>
            <w:szCs w:val="24"/>
            <w:u w:val="single"/>
          </w:rPr>
          <w:t>ditional terms for .gov.uk agreements</w:t>
        </w:r>
      </w:hyperlink>
      <w:r>
        <w:rPr>
          <w:sz w:val="24"/>
          <w:szCs w:val="24"/>
        </w:rPr>
        <w:t xml:space="preserve">, and monitoring </w:t>
      </w:r>
      <w:r>
        <w:rPr>
          <w:sz w:val="24"/>
          <w:szCs w:val="24"/>
        </w:rPr>
        <w:lastRenderedPageBreak/>
        <w:t xml:space="preserve">and supporting its own Registrar to meet and ensuring it meets the </w:t>
      </w:r>
      <w:hyperlink r:id="rId64">
        <w:r>
          <w:rPr>
            <w:color w:val="1155CC"/>
            <w:sz w:val="24"/>
            <w:szCs w:val="24"/>
            <w:u w:val="single"/>
          </w:rPr>
          <w:t>criteria to be a .gov.uk Approved Registrar</w:t>
        </w:r>
      </w:hyperlink>
      <w:r>
        <w:rPr>
          <w:sz w:val="24"/>
          <w:szCs w:val="24"/>
        </w:rPr>
        <w:t>.</w:t>
      </w:r>
    </w:p>
    <w:p w:rsidR="00FF0DAA" w:rsidRDefault="0029045F">
      <w:pPr>
        <w:pStyle w:val="Heading2"/>
        <w:numPr>
          <w:ilvl w:val="1"/>
          <w:numId w:val="6"/>
        </w:numPr>
      </w:pPr>
      <w:bookmarkStart w:id="38" w:name="_heading=h.ihv636" w:colFirst="0" w:colLast="0"/>
      <w:bookmarkEnd w:id="38"/>
      <w:r>
        <w:t>S</w:t>
      </w:r>
      <w:r>
        <w:t>upport services for Registrars</w:t>
      </w:r>
    </w:p>
    <w:p w:rsidR="00FF0DAA" w:rsidRDefault="0029045F">
      <w:pPr>
        <w:numPr>
          <w:ilvl w:val="2"/>
          <w:numId w:val="6"/>
        </w:numPr>
      </w:pPr>
      <w:r>
        <w:rPr>
          <w:sz w:val="24"/>
          <w:szCs w:val="24"/>
        </w:rPr>
        <w:t xml:space="preserve">The Supplier shall provide Registrars with the tools to manage their customer base. The Supplier shall manage and operate these Registrar support services from within the UK. </w:t>
      </w:r>
    </w:p>
    <w:p w:rsidR="00FF0DAA" w:rsidRDefault="00FF0DAA">
      <w:pPr>
        <w:ind w:left="1712"/>
        <w:rPr>
          <w:sz w:val="24"/>
          <w:szCs w:val="24"/>
        </w:rPr>
      </w:pPr>
    </w:p>
    <w:p w:rsidR="00FF0DAA" w:rsidRDefault="0029045F">
      <w:pPr>
        <w:numPr>
          <w:ilvl w:val="2"/>
          <w:numId w:val="6"/>
        </w:numPr>
      </w:pPr>
      <w:r>
        <w:rPr>
          <w:sz w:val="24"/>
          <w:szCs w:val="24"/>
        </w:rPr>
        <w:t>The Supplier shall provide email, web and teleph</w:t>
      </w:r>
      <w:r>
        <w:rPr>
          <w:sz w:val="24"/>
          <w:szCs w:val="24"/>
        </w:rPr>
        <w:t>one channels for service requests and enquiries from Registrars.</w:t>
      </w:r>
    </w:p>
    <w:p w:rsidR="00FF0DAA" w:rsidRDefault="00FF0DAA">
      <w:pPr>
        <w:ind w:left="1712"/>
        <w:rPr>
          <w:sz w:val="24"/>
          <w:szCs w:val="24"/>
        </w:rPr>
      </w:pPr>
    </w:p>
    <w:p w:rsidR="00FF0DAA" w:rsidRDefault="0029045F">
      <w:pPr>
        <w:numPr>
          <w:ilvl w:val="2"/>
          <w:numId w:val="6"/>
        </w:numPr>
      </w:pPr>
      <w:r>
        <w:rPr>
          <w:sz w:val="24"/>
          <w:szCs w:val="24"/>
        </w:rPr>
        <w:t xml:space="preserve">The Supplier shall </w:t>
      </w:r>
      <w:proofErr w:type="gramStart"/>
      <w:r>
        <w:rPr>
          <w:sz w:val="24"/>
          <w:szCs w:val="24"/>
        </w:rPr>
        <w:t>provide assistance for</w:t>
      </w:r>
      <w:proofErr w:type="gramEnd"/>
      <w:r>
        <w:rPr>
          <w:sz w:val="24"/>
          <w:szCs w:val="24"/>
        </w:rPr>
        <w:t xml:space="preserve"> Registrars to manage orders for registration, cancellation, deletion, renewal, maintenance or transfer of domain names.</w:t>
      </w:r>
    </w:p>
    <w:p w:rsidR="00FF0DAA" w:rsidRDefault="00FF0DAA">
      <w:pPr>
        <w:ind w:left="1712"/>
        <w:rPr>
          <w:sz w:val="24"/>
          <w:szCs w:val="24"/>
        </w:rPr>
      </w:pPr>
    </w:p>
    <w:p w:rsidR="00FF0DAA" w:rsidRDefault="0029045F">
      <w:pPr>
        <w:numPr>
          <w:ilvl w:val="2"/>
          <w:numId w:val="6"/>
        </w:numPr>
      </w:pPr>
      <w:r>
        <w:rPr>
          <w:sz w:val="24"/>
          <w:szCs w:val="24"/>
        </w:rPr>
        <w:t xml:space="preserve">The Supplier shall </w:t>
      </w:r>
      <w:proofErr w:type="gramStart"/>
      <w:r>
        <w:rPr>
          <w:sz w:val="24"/>
          <w:szCs w:val="24"/>
        </w:rPr>
        <w:t>provide assistance to</w:t>
      </w:r>
      <w:proofErr w:type="gramEnd"/>
      <w:r>
        <w:rPr>
          <w:sz w:val="24"/>
          <w:szCs w:val="24"/>
        </w:rPr>
        <w:t xml:space="preserve"> Registrars with billing and account management.</w:t>
      </w:r>
    </w:p>
    <w:p w:rsidR="00FF0DAA" w:rsidRDefault="00FF0DAA">
      <w:pPr>
        <w:ind w:left="1712"/>
        <w:rPr>
          <w:sz w:val="24"/>
          <w:szCs w:val="24"/>
        </w:rPr>
      </w:pPr>
    </w:p>
    <w:p w:rsidR="00FF0DAA" w:rsidRDefault="0029045F">
      <w:pPr>
        <w:numPr>
          <w:ilvl w:val="2"/>
          <w:numId w:val="6"/>
        </w:numPr>
      </w:pPr>
      <w:r>
        <w:rPr>
          <w:sz w:val="24"/>
          <w:szCs w:val="24"/>
        </w:rPr>
        <w:t>The Supplier shall provide Registrars with Extended Business Hours support for routine issues.</w:t>
      </w:r>
    </w:p>
    <w:p w:rsidR="00FF0DAA" w:rsidRDefault="00FF0DAA">
      <w:pPr>
        <w:ind w:left="1712"/>
        <w:rPr>
          <w:sz w:val="24"/>
          <w:szCs w:val="24"/>
        </w:rPr>
      </w:pPr>
    </w:p>
    <w:p w:rsidR="00FF0DAA" w:rsidRDefault="0029045F">
      <w:pPr>
        <w:numPr>
          <w:ilvl w:val="2"/>
          <w:numId w:val="6"/>
        </w:numPr>
      </w:pPr>
      <w:r>
        <w:rPr>
          <w:sz w:val="24"/>
          <w:szCs w:val="24"/>
        </w:rPr>
        <w:t>The Supplier shall provide Registrars with 24/7 support for urgent iss</w:t>
      </w:r>
      <w:r>
        <w:rPr>
          <w:sz w:val="24"/>
          <w:szCs w:val="24"/>
        </w:rPr>
        <w:t>ues. This would include but not be limited to issues that had or potentially carry an immediate risk of a Registrant losing control of a domain or a service identified by a domain. The Critical Domain Holder shall determine in its sole discretion and notif</w:t>
      </w:r>
      <w:r>
        <w:rPr>
          <w:sz w:val="24"/>
          <w:szCs w:val="24"/>
        </w:rPr>
        <w:t>y the supplier from time to time as to what constitutes an urgent issue.</w:t>
      </w:r>
    </w:p>
    <w:p w:rsidR="00FF0DAA" w:rsidRDefault="00FF0DAA">
      <w:pPr>
        <w:ind w:left="1712"/>
        <w:rPr>
          <w:sz w:val="24"/>
          <w:szCs w:val="24"/>
        </w:rPr>
      </w:pPr>
    </w:p>
    <w:p w:rsidR="00FF0DAA" w:rsidRDefault="0029045F">
      <w:pPr>
        <w:numPr>
          <w:ilvl w:val="2"/>
          <w:numId w:val="6"/>
        </w:numPr>
      </w:pPr>
      <w:r>
        <w:rPr>
          <w:sz w:val="24"/>
          <w:szCs w:val="24"/>
        </w:rPr>
        <w:t>The Supplier shall provide Registrars with support from a UK based Registry Operator Personnel appropriately qualified with experience in DNS and registry operations and capable of p</w:t>
      </w:r>
      <w:r>
        <w:rPr>
          <w:sz w:val="24"/>
          <w:szCs w:val="24"/>
        </w:rPr>
        <w:t>roviding the necessary technical support.</w:t>
      </w:r>
    </w:p>
    <w:p w:rsidR="00FF0DAA" w:rsidRDefault="00FF0DAA">
      <w:pPr>
        <w:ind w:left="1712"/>
        <w:rPr>
          <w:sz w:val="24"/>
          <w:szCs w:val="24"/>
        </w:rPr>
      </w:pPr>
    </w:p>
    <w:p w:rsidR="00FF0DAA" w:rsidRDefault="0029045F">
      <w:pPr>
        <w:numPr>
          <w:ilvl w:val="2"/>
          <w:numId w:val="6"/>
        </w:numPr>
      </w:pPr>
      <w:r>
        <w:rPr>
          <w:sz w:val="24"/>
          <w:szCs w:val="24"/>
        </w:rPr>
        <w:t>The Supplier shall provide Registrars with information or links:</w:t>
      </w:r>
      <w:r>
        <w:rPr>
          <w:sz w:val="24"/>
          <w:szCs w:val="24"/>
        </w:rPr>
        <w:br/>
      </w:r>
    </w:p>
    <w:p w:rsidR="00FF0DAA" w:rsidRDefault="0029045F">
      <w:pPr>
        <w:numPr>
          <w:ilvl w:val="3"/>
          <w:numId w:val="6"/>
        </w:numPr>
      </w:pPr>
      <w:r>
        <w:rPr>
          <w:sz w:val="24"/>
          <w:szCs w:val="24"/>
        </w:rPr>
        <w:t xml:space="preserve">Relating to </w:t>
      </w:r>
      <w:proofErr w:type="gramStart"/>
      <w:r>
        <w:rPr>
          <w:sz w:val="24"/>
          <w:szCs w:val="24"/>
        </w:rPr>
        <w:t>the .</w:t>
      </w:r>
      <w:proofErr w:type="gramEnd"/>
      <w:r>
        <w:rPr>
          <w:sz w:val="24"/>
          <w:szCs w:val="24"/>
        </w:rPr>
        <w:t>gov.uk Approved Registrar criteria;</w:t>
      </w:r>
    </w:p>
    <w:p w:rsidR="00FF0DAA" w:rsidRDefault="0029045F">
      <w:pPr>
        <w:numPr>
          <w:ilvl w:val="3"/>
          <w:numId w:val="6"/>
        </w:numPr>
      </w:pPr>
      <w:r>
        <w:rPr>
          <w:sz w:val="24"/>
          <w:szCs w:val="24"/>
        </w:rPr>
        <w:lastRenderedPageBreak/>
        <w:t>Providing technical information and downloads;</w:t>
      </w:r>
    </w:p>
    <w:p w:rsidR="00FF0DAA" w:rsidRDefault="0029045F">
      <w:pPr>
        <w:numPr>
          <w:ilvl w:val="3"/>
          <w:numId w:val="6"/>
        </w:numPr>
      </w:pPr>
      <w:r>
        <w:rPr>
          <w:sz w:val="24"/>
          <w:szCs w:val="24"/>
        </w:rPr>
        <w:t>Providing links to the domain name Registrars and Management rules;</w:t>
      </w:r>
    </w:p>
    <w:p w:rsidR="00FF0DAA" w:rsidRDefault="0029045F">
      <w:pPr>
        <w:numPr>
          <w:ilvl w:val="3"/>
          <w:numId w:val="6"/>
        </w:numPr>
      </w:pPr>
      <w:r>
        <w:rPr>
          <w:sz w:val="24"/>
          <w:szCs w:val="24"/>
        </w:rPr>
        <w:t>Relating to accounts management; and</w:t>
      </w:r>
    </w:p>
    <w:p w:rsidR="00FF0DAA" w:rsidRDefault="0029045F">
      <w:pPr>
        <w:numPr>
          <w:ilvl w:val="3"/>
          <w:numId w:val="6"/>
        </w:numPr>
      </w:pPr>
      <w:r>
        <w:rPr>
          <w:sz w:val="24"/>
          <w:szCs w:val="24"/>
        </w:rPr>
        <w:t>Relating to statistics.</w:t>
      </w:r>
    </w:p>
    <w:p w:rsidR="00FF0DAA" w:rsidRDefault="00FF0DAA">
      <w:pPr>
        <w:rPr>
          <w:i/>
          <w:sz w:val="24"/>
          <w:szCs w:val="24"/>
        </w:rPr>
      </w:pPr>
    </w:p>
    <w:p w:rsidR="00FF0DAA" w:rsidRDefault="0029045F">
      <w:r>
        <w:rPr>
          <w:i/>
          <w:sz w:val="24"/>
          <w:szCs w:val="24"/>
        </w:rPr>
        <w:t>See also Call-Off Schedule 14 for relevant service level requirements</w:t>
      </w:r>
    </w:p>
    <w:p w:rsidR="00FF0DAA" w:rsidRDefault="0029045F">
      <w:pPr>
        <w:pStyle w:val="Heading2"/>
        <w:numPr>
          <w:ilvl w:val="1"/>
          <w:numId w:val="6"/>
        </w:numPr>
      </w:pPr>
      <w:bookmarkStart w:id="39" w:name="_heading=h.32hioqz" w:colFirst="0" w:colLast="0"/>
      <w:bookmarkEnd w:id="39"/>
      <w:r>
        <w:t>Web interface for common domain management functions</w:t>
      </w:r>
      <w:r>
        <w:rPr>
          <w:b/>
          <w:sz w:val="24"/>
          <w:szCs w:val="24"/>
        </w:rPr>
        <w:br/>
      </w:r>
    </w:p>
    <w:p w:rsidR="00FF0DAA" w:rsidRDefault="0029045F">
      <w:pPr>
        <w:numPr>
          <w:ilvl w:val="2"/>
          <w:numId w:val="6"/>
        </w:numPr>
      </w:pPr>
      <w:r>
        <w:rPr>
          <w:sz w:val="24"/>
          <w:szCs w:val="24"/>
        </w:rPr>
        <w:t>Th</w:t>
      </w:r>
      <w:r>
        <w:rPr>
          <w:sz w:val="24"/>
          <w:szCs w:val="24"/>
        </w:rPr>
        <w:t xml:space="preserve">e Supplier shall supply a secure HTML5 web interface which works on all modern browsers for the Critical Domain Holder to accept and </w:t>
      </w:r>
      <w:proofErr w:type="gramStart"/>
      <w:r>
        <w:rPr>
          <w:sz w:val="24"/>
          <w:szCs w:val="24"/>
        </w:rPr>
        <w:t>process .</w:t>
      </w:r>
      <w:proofErr w:type="gramEnd"/>
      <w:r>
        <w:rPr>
          <w:sz w:val="24"/>
          <w:szCs w:val="24"/>
        </w:rPr>
        <w:t xml:space="preserve">gov.uk domain name applications, and for Registrars and Registrants to administer the objects they are authorised </w:t>
      </w:r>
      <w:r>
        <w:rPr>
          <w:sz w:val="24"/>
          <w:szCs w:val="24"/>
        </w:rPr>
        <w:t>to manage within the Registry.</w:t>
      </w:r>
      <w:r>
        <w:rPr>
          <w:sz w:val="24"/>
          <w:szCs w:val="24"/>
        </w:rPr>
        <w:br/>
      </w:r>
    </w:p>
    <w:p w:rsidR="00FF0DAA" w:rsidRDefault="0029045F">
      <w:pPr>
        <w:numPr>
          <w:ilvl w:val="2"/>
          <w:numId w:val="6"/>
        </w:numPr>
      </w:pPr>
      <w:r>
        <w:rPr>
          <w:sz w:val="24"/>
          <w:szCs w:val="24"/>
        </w:rPr>
        <w:t>The Supplier shall ensure that the web interface allows users to execute all common domain management functions, including enterprise-level functions to manage many or all Registrant organisations. These include:</w:t>
      </w:r>
      <w:r>
        <w:rPr>
          <w:sz w:val="24"/>
          <w:szCs w:val="24"/>
        </w:rPr>
        <w:br/>
      </w:r>
    </w:p>
    <w:p w:rsidR="00FF0DAA" w:rsidRDefault="0029045F">
      <w:pPr>
        <w:numPr>
          <w:ilvl w:val="3"/>
          <w:numId w:val="6"/>
        </w:numPr>
      </w:pPr>
      <w:r>
        <w:rPr>
          <w:sz w:val="24"/>
          <w:szCs w:val="24"/>
        </w:rPr>
        <w:t>Manage dom</w:t>
      </w:r>
      <w:r>
        <w:rPr>
          <w:sz w:val="24"/>
          <w:szCs w:val="24"/>
        </w:rPr>
        <w:t>ain lifecycle on behalf of a Registrant;</w:t>
      </w:r>
    </w:p>
    <w:p w:rsidR="00FF0DAA" w:rsidRDefault="00FF0DAA">
      <w:pPr>
        <w:ind w:left="2562"/>
        <w:rPr>
          <w:sz w:val="24"/>
          <w:szCs w:val="24"/>
        </w:rPr>
      </w:pPr>
    </w:p>
    <w:p w:rsidR="00FF0DAA" w:rsidRDefault="0029045F">
      <w:pPr>
        <w:numPr>
          <w:ilvl w:val="3"/>
          <w:numId w:val="6"/>
        </w:numPr>
      </w:pPr>
      <w:r>
        <w:rPr>
          <w:sz w:val="24"/>
          <w:szCs w:val="24"/>
        </w:rPr>
        <w:t>Manage domain records on behalf of a Registrant;</w:t>
      </w:r>
    </w:p>
    <w:p w:rsidR="00FF0DAA" w:rsidRDefault="00FF0DAA">
      <w:pPr>
        <w:ind w:left="2562"/>
        <w:rPr>
          <w:sz w:val="24"/>
          <w:szCs w:val="24"/>
        </w:rPr>
      </w:pPr>
    </w:p>
    <w:p w:rsidR="00FF0DAA" w:rsidRDefault="0029045F">
      <w:pPr>
        <w:numPr>
          <w:ilvl w:val="3"/>
          <w:numId w:val="6"/>
        </w:numPr>
      </w:pPr>
      <w:r>
        <w:rPr>
          <w:sz w:val="24"/>
          <w:szCs w:val="24"/>
        </w:rPr>
        <w:t>Transfer domains and all supporting information securely between Registrars;</w:t>
      </w:r>
    </w:p>
    <w:p w:rsidR="00FF0DAA" w:rsidRDefault="00FF0DAA">
      <w:pPr>
        <w:ind w:left="2562"/>
        <w:rPr>
          <w:sz w:val="24"/>
          <w:szCs w:val="24"/>
        </w:rPr>
      </w:pPr>
    </w:p>
    <w:p w:rsidR="00FF0DAA" w:rsidRDefault="0029045F">
      <w:pPr>
        <w:numPr>
          <w:ilvl w:val="3"/>
          <w:numId w:val="6"/>
        </w:numPr>
      </w:pPr>
      <w:r>
        <w:rPr>
          <w:sz w:val="24"/>
          <w:szCs w:val="24"/>
        </w:rPr>
        <w:t>Manage a team of staff, each of which has access only to a subset of customers informa</w:t>
      </w:r>
      <w:r>
        <w:rPr>
          <w:sz w:val="24"/>
          <w:szCs w:val="24"/>
        </w:rPr>
        <w:t>tion, and a subset of privileges, such as the ability to view or change data, the ability to raise invoices and manage payments;</w:t>
      </w:r>
    </w:p>
    <w:p w:rsidR="00FF0DAA" w:rsidRDefault="00FF0DAA">
      <w:pPr>
        <w:ind w:left="2562"/>
        <w:rPr>
          <w:sz w:val="24"/>
          <w:szCs w:val="24"/>
        </w:rPr>
      </w:pPr>
    </w:p>
    <w:p w:rsidR="00FF0DAA" w:rsidRDefault="0029045F">
      <w:pPr>
        <w:numPr>
          <w:ilvl w:val="3"/>
          <w:numId w:val="6"/>
        </w:numPr>
      </w:pPr>
      <w:r>
        <w:rPr>
          <w:sz w:val="24"/>
          <w:szCs w:val="24"/>
        </w:rPr>
        <w:lastRenderedPageBreak/>
        <w:t>Keep Registrant information separate so that information about one Registrant is not shared unnecessarily between account mana</w:t>
      </w:r>
      <w:r>
        <w:rPr>
          <w:sz w:val="24"/>
          <w:szCs w:val="24"/>
        </w:rPr>
        <w:t>gers;</w:t>
      </w:r>
    </w:p>
    <w:p w:rsidR="00FF0DAA" w:rsidRDefault="00FF0DAA">
      <w:pPr>
        <w:ind w:left="2562"/>
        <w:rPr>
          <w:sz w:val="24"/>
          <w:szCs w:val="24"/>
        </w:rPr>
      </w:pPr>
    </w:p>
    <w:p w:rsidR="00FF0DAA" w:rsidRDefault="0029045F">
      <w:pPr>
        <w:numPr>
          <w:ilvl w:val="3"/>
          <w:numId w:val="6"/>
        </w:numPr>
      </w:pPr>
      <w:r>
        <w:rPr>
          <w:sz w:val="24"/>
          <w:szCs w:val="24"/>
        </w:rPr>
        <w:t>Access, search, browse and filter all data and information users manage and download in an open format;</w:t>
      </w:r>
    </w:p>
    <w:p w:rsidR="00FF0DAA" w:rsidRDefault="00FF0DAA">
      <w:pPr>
        <w:ind w:left="2562"/>
        <w:rPr>
          <w:sz w:val="24"/>
          <w:szCs w:val="24"/>
        </w:rPr>
      </w:pPr>
    </w:p>
    <w:p w:rsidR="00FF0DAA" w:rsidRDefault="0029045F">
      <w:pPr>
        <w:numPr>
          <w:ilvl w:val="3"/>
          <w:numId w:val="6"/>
        </w:numPr>
      </w:pPr>
      <w:r>
        <w:rPr>
          <w:sz w:val="24"/>
          <w:szCs w:val="24"/>
        </w:rPr>
        <w:t xml:space="preserve">Manage the accounting and billing information </w:t>
      </w:r>
      <w:proofErr w:type="gramStart"/>
      <w:r>
        <w:rPr>
          <w:sz w:val="24"/>
          <w:szCs w:val="24"/>
        </w:rPr>
        <w:t>for  Registrants</w:t>
      </w:r>
      <w:proofErr w:type="gramEnd"/>
      <w:r>
        <w:rPr>
          <w:sz w:val="24"/>
          <w:szCs w:val="24"/>
        </w:rPr>
        <w:t>;</w:t>
      </w:r>
    </w:p>
    <w:p w:rsidR="00FF0DAA" w:rsidRDefault="00FF0DAA">
      <w:pPr>
        <w:ind w:left="2562"/>
        <w:rPr>
          <w:sz w:val="24"/>
          <w:szCs w:val="24"/>
        </w:rPr>
      </w:pPr>
    </w:p>
    <w:p w:rsidR="00FF0DAA" w:rsidRDefault="0029045F">
      <w:pPr>
        <w:numPr>
          <w:ilvl w:val="3"/>
          <w:numId w:val="6"/>
        </w:numPr>
      </w:pPr>
      <w:r>
        <w:rPr>
          <w:sz w:val="24"/>
          <w:szCs w:val="24"/>
        </w:rPr>
        <w:t>Access the approval status of any new domain names requested;</w:t>
      </w:r>
      <w:r>
        <w:rPr>
          <w:sz w:val="24"/>
          <w:szCs w:val="24"/>
        </w:rPr>
        <w:br/>
      </w:r>
    </w:p>
    <w:p w:rsidR="00FF0DAA" w:rsidRDefault="0029045F">
      <w:pPr>
        <w:numPr>
          <w:ilvl w:val="3"/>
          <w:numId w:val="6"/>
        </w:numPr>
      </w:pPr>
      <w:r>
        <w:rPr>
          <w:sz w:val="24"/>
          <w:szCs w:val="24"/>
        </w:rPr>
        <w:t>Access support a</w:t>
      </w:r>
      <w:r>
        <w:rPr>
          <w:sz w:val="24"/>
          <w:szCs w:val="24"/>
        </w:rPr>
        <w:t xml:space="preserve">nd help functions; and </w:t>
      </w:r>
    </w:p>
    <w:p w:rsidR="00FF0DAA" w:rsidRDefault="00FF0DAA">
      <w:pPr>
        <w:ind w:left="2562"/>
        <w:rPr>
          <w:sz w:val="24"/>
          <w:szCs w:val="24"/>
        </w:rPr>
      </w:pPr>
    </w:p>
    <w:p w:rsidR="00FF0DAA" w:rsidRDefault="0029045F">
      <w:pPr>
        <w:numPr>
          <w:ilvl w:val="3"/>
          <w:numId w:val="6"/>
        </w:numPr>
      </w:pPr>
      <w:r>
        <w:rPr>
          <w:sz w:val="24"/>
          <w:szCs w:val="24"/>
        </w:rPr>
        <w:t>Access information on the status of the platform.</w:t>
      </w:r>
    </w:p>
    <w:p w:rsidR="00FF0DAA" w:rsidRDefault="00FF0DAA">
      <w:pPr>
        <w:ind w:left="2562"/>
        <w:rPr>
          <w:sz w:val="24"/>
          <w:szCs w:val="24"/>
        </w:rPr>
      </w:pPr>
    </w:p>
    <w:p w:rsidR="00FF0DAA" w:rsidRDefault="0029045F">
      <w:pPr>
        <w:numPr>
          <w:ilvl w:val="2"/>
          <w:numId w:val="6"/>
        </w:numPr>
      </w:pPr>
      <w:r>
        <w:rPr>
          <w:sz w:val="24"/>
          <w:szCs w:val="24"/>
        </w:rPr>
        <w:t>The Supplier acknowledges that some Registrants will be their own Registrar, or have no Registrar. In these cases, the Supplier shall ensure that they will have access only to their own domain names.</w:t>
      </w:r>
      <w:r>
        <w:rPr>
          <w:sz w:val="24"/>
          <w:szCs w:val="24"/>
        </w:rPr>
        <w:br/>
      </w:r>
    </w:p>
    <w:p w:rsidR="00FF0DAA" w:rsidRDefault="0029045F">
      <w:pPr>
        <w:numPr>
          <w:ilvl w:val="2"/>
          <w:numId w:val="6"/>
        </w:numPr>
      </w:pPr>
      <w:r>
        <w:rPr>
          <w:sz w:val="24"/>
          <w:szCs w:val="24"/>
        </w:rPr>
        <w:t>The Supplier shall ensure that the aforementioned web i</w:t>
      </w:r>
      <w:r>
        <w:rPr>
          <w:sz w:val="24"/>
          <w:szCs w:val="24"/>
        </w:rPr>
        <w:t>nterface allows the Critical Domain Holder to:</w:t>
      </w:r>
      <w:r>
        <w:rPr>
          <w:sz w:val="24"/>
          <w:szCs w:val="24"/>
        </w:rPr>
        <w:br/>
      </w:r>
    </w:p>
    <w:p w:rsidR="00FF0DAA" w:rsidRDefault="0029045F">
      <w:pPr>
        <w:numPr>
          <w:ilvl w:val="3"/>
          <w:numId w:val="6"/>
        </w:numPr>
      </w:pPr>
      <w:r>
        <w:rPr>
          <w:sz w:val="24"/>
          <w:szCs w:val="24"/>
        </w:rPr>
        <w:t>Review, approve, and reject all applications and appeals using such web interface; and</w:t>
      </w:r>
      <w:r>
        <w:rPr>
          <w:sz w:val="24"/>
          <w:szCs w:val="24"/>
        </w:rPr>
        <w:br/>
      </w:r>
    </w:p>
    <w:p w:rsidR="00FF0DAA" w:rsidRDefault="0029045F">
      <w:pPr>
        <w:numPr>
          <w:ilvl w:val="3"/>
          <w:numId w:val="6"/>
        </w:numPr>
      </w:pPr>
      <w:r>
        <w:rPr>
          <w:sz w:val="24"/>
          <w:szCs w:val="24"/>
        </w:rPr>
        <w:t>Access, search, browse and filter all information stored by the Registry Data and download all data in an open format.</w:t>
      </w:r>
    </w:p>
    <w:p w:rsidR="00FF0DAA" w:rsidRDefault="00FF0DAA">
      <w:pPr>
        <w:ind w:left="2562"/>
        <w:rPr>
          <w:sz w:val="24"/>
          <w:szCs w:val="24"/>
        </w:rPr>
      </w:pPr>
    </w:p>
    <w:p w:rsidR="00FF0DAA" w:rsidRDefault="0029045F">
      <w:pPr>
        <w:numPr>
          <w:ilvl w:val="2"/>
          <w:numId w:val="6"/>
        </w:numPr>
      </w:pPr>
      <w:r>
        <w:rPr>
          <w:sz w:val="24"/>
          <w:szCs w:val="24"/>
        </w:rPr>
        <w:t>The Supplier shall ensure that the aforementioned web interface shall support multi-factor authentication for user access with at least 3 factors authentication, namely - username, password, and TOTP (being time-based one-time password) token. The Supplier</w:t>
      </w:r>
      <w:r>
        <w:rPr>
          <w:sz w:val="24"/>
          <w:szCs w:val="24"/>
        </w:rPr>
        <w:t xml:space="preserve"> shall ensure that email, SMS and phone call are not acceptable methods of multi-factor authentication.</w:t>
      </w:r>
    </w:p>
    <w:p w:rsidR="00FF0DAA" w:rsidRDefault="00FF0DAA">
      <w:pPr>
        <w:widowControl w:val="0"/>
        <w:rPr>
          <w:sz w:val="24"/>
          <w:szCs w:val="24"/>
        </w:rPr>
      </w:pPr>
    </w:p>
    <w:p w:rsidR="00FF0DAA" w:rsidRDefault="0029045F">
      <w:pPr>
        <w:rPr>
          <w:sz w:val="24"/>
          <w:szCs w:val="24"/>
        </w:rPr>
      </w:pPr>
      <w:r>
        <w:rPr>
          <w:i/>
          <w:sz w:val="24"/>
          <w:szCs w:val="24"/>
        </w:rPr>
        <w:lastRenderedPageBreak/>
        <w:t>See also Call-Off Schedule 14 for relevant service level requirements</w:t>
      </w:r>
    </w:p>
    <w:p w:rsidR="00FF0DAA" w:rsidRDefault="00FF0DAA">
      <w:pPr>
        <w:widowControl w:val="0"/>
        <w:rPr>
          <w:sz w:val="24"/>
          <w:szCs w:val="24"/>
        </w:rPr>
      </w:pPr>
    </w:p>
    <w:p w:rsidR="00FF0DAA" w:rsidRDefault="0029045F">
      <w:pPr>
        <w:pStyle w:val="Heading1"/>
        <w:widowControl w:val="0"/>
        <w:numPr>
          <w:ilvl w:val="0"/>
          <w:numId w:val="6"/>
        </w:numPr>
      </w:pPr>
      <w:bookmarkStart w:id="40" w:name="_heading=h.1hmsyys" w:colFirst="0" w:colLast="0"/>
      <w:bookmarkEnd w:id="40"/>
      <w:r>
        <w:t>Monitoring the Registry</w:t>
      </w:r>
    </w:p>
    <w:p w:rsidR="00FF0DAA" w:rsidRDefault="0029045F">
      <w:pPr>
        <w:pStyle w:val="Heading2"/>
        <w:widowControl w:val="0"/>
        <w:numPr>
          <w:ilvl w:val="1"/>
          <w:numId w:val="6"/>
        </w:numPr>
      </w:pPr>
      <w:bookmarkStart w:id="41" w:name="_heading=h.41mghml" w:colFirst="0" w:colLast="0"/>
      <w:bookmarkEnd w:id="41"/>
      <w:r>
        <w:t>Ongoing Registry Data checks</w:t>
      </w:r>
    </w:p>
    <w:p w:rsidR="00FF0DAA" w:rsidRDefault="00FF0DAA">
      <w:pPr>
        <w:widowControl w:val="0"/>
        <w:rPr>
          <w:sz w:val="24"/>
          <w:szCs w:val="24"/>
          <w:highlight w:val="white"/>
        </w:rPr>
      </w:pPr>
    </w:p>
    <w:p w:rsidR="00FF0DAA" w:rsidRDefault="0029045F">
      <w:pPr>
        <w:widowControl w:val="0"/>
        <w:numPr>
          <w:ilvl w:val="2"/>
          <w:numId w:val="6"/>
        </w:numPr>
      </w:pPr>
      <w:r>
        <w:rPr>
          <w:sz w:val="24"/>
          <w:szCs w:val="24"/>
          <w:highlight w:val="white"/>
        </w:rPr>
        <w:t>To provide additional assurance, the Supplier shall undertake the Registry domain record checks listed in as set out in paragraph 4.1.2 above on an ongoing basis (and in any event no less frequently than 3-monthly) and provide the Critical Domain Holder of</w:t>
      </w:r>
      <w:r>
        <w:rPr>
          <w:sz w:val="24"/>
          <w:szCs w:val="24"/>
          <w:highlight w:val="white"/>
        </w:rPr>
        <w:t xml:space="preserve"> evidence of this. The scope of this is Registry Data only, not subdomains. See response to question 9.1 in Call-Off Schedule 4 for further details. </w:t>
      </w:r>
    </w:p>
    <w:p w:rsidR="00FF0DAA" w:rsidRDefault="0029045F">
      <w:pPr>
        <w:pStyle w:val="Heading2"/>
        <w:numPr>
          <w:ilvl w:val="1"/>
          <w:numId w:val="6"/>
        </w:numPr>
      </w:pPr>
      <w:bookmarkStart w:id="42" w:name="_heading=h.2grqrue" w:colFirst="0" w:colLast="0"/>
      <w:bookmarkEnd w:id="42"/>
      <w:r>
        <w:t>Abuse mitigation and detection</w:t>
      </w:r>
    </w:p>
    <w:p w:rsidR="00FF0DAA" w:rsidRDefault="0029045F">
      <w:pPr>
        <w:numPr>
          <w:ilvl w:val="2"/>
          <w:numId w:val="6"/>
        </w:numPr>
      </w:pPr>
      <w:r>
        <w:rPr>
          <w:sz w:val="24"/>
          <w:szCs w:val="24"/>
        </w:rPr>
        <w:t>The Supplier shall publish accurate contact details on its website includin</w:t>
      </w:r>
      <w:r>
        <w:rPr>
          <w:sz w:val="24"/>
          <w:szCs w:val="24"/>
        </w:rPr>
        <w:t xml:space="preserve">g a valid email and mailing address as well as a primary contact for handling enquiries related to malicious conduct in the third level namespaces within </w:t>
      </w:r>
      <w:proofErr w:type="gramStart"/>
      <w:r>
        <w:rPr>
          <w:sz w:val="24"/>
          <w:szCs w:val="24"/>
        </w:rPr>
        <w:t>the .</w:t>
      </w:r>
      <w:proofErr w:type="gramEnd"/>
      <w:r>
        <w:rPr>
          <w:sz w:val="24"/>
          <w:szCs w:val="24"/>
        </w:rPr>
        <w:t>gov.uk domain.</w:t>
      </w:r>
      <w:r>
        <w:rPr>
          <w:sz w:val="24"/>
          <w:szCs w:val="24"/>
        </w:rPr>
        <w:br/>
      </w:r>
    </w:p>
    <w:p w:rsidR="00FF0DAA" w:rsidRDefault="0029045F">
      <w:pPr>
        <w:numPr>
          <w:ilvl w:val="2"/>
          <w:numId w:val="6"/>
        </w:numPr>
      </w:pPr>
      <w:r>
        <w:rPr>
          <w:sz w:val="24"/>
          <w:szCs w:val="24"/>
        </w:rPr>
        <w:t>The Supplier shall provide the Critical Domain Holder with prompt notice of any c</w:t>
      </w:r>
      <w:r>
        <w:rPr>
          <w:sz w:val="24"/>
          <w:szCs w:val="24"/>
        </w:rPr>
        <w:t>hanges to such contact details.</w:t>
      </w:r>
    </w:p>
    <w:p w:rsidR="00FF0DAA" w:rsidRDefault="00FF0DAA">
      <w:pPr>
        <w:ind w:left="1712"/>
        <w:rPr>
          <w:sz w:val="24"/>
          <w:szCs w:val="24"/>
        </w:rPr>
      </w:pPr>
    </w:p>
    <w:p w:rsidR="00FF0DAA" w:rsidRDefault="0029045F">
      <w:pPr>
        <w:numPr>
          <w:ilvl w:val="2"/>
          <w:numId w:val="6"/>
        </w:numPr>
      </w:pPr>
      <w:r>
        <w:rPr>
          <w:sz w:val="24"/>
          <w:szCs w:val="24"/>
        </w:rPr>
        <w:t>The Supplier shall provide advice on minimising the risk of abuse and mitigating the effects of abuse. See response to question 9.2 in Call-Off Schedule 4 for further details.</w:t>
      </w:r>
      <w:r>
        <w:rPr>
          <w:sz w:val="24"/>
          <w:szCs w:val="24"/>
        </w:rPr>
        <w:br/>
      </w:r>
    </w:p>
    <w:p w:rsidR="00FF0DAA" w:rsidRDefault="0029045F">
      <w:pPr>
        <w:numPr>
          <w:ilvl w:val="2"/>
          <w:numId w:val="6"/>
        </w:numPr>
        <w:spacing w:after="200"/>
      </w:pPr>
      <w:r>
        <w:rPr>
          <w:sz w:val="24"/>
          <w:szCs w:val="24"/>
        </w:rPr>
        <w:t>The Supplier shall periodically conduct a tech</w:t>
      </w:r>
      <w:r>
        <w:rPr>
          <w:sz w:val="24"/>
          <w:szCs w:val="24"/>
        </w:rPr>
        <w:t xml:space="preserve">nical analysis to assess whether namespaces </w:t>
      </w:r>
      <w:proofErr w:type="gramStart"/>
      <w:r>
        <w:rPr>
          <w:sz w:val="24"/>
          <w:szCs w:val="24"/>
        </w:rPr>
        <w:t>within .</w:t>
      </w:r>
      <w:proofErr w:type="gramEnd"/>
      <w:r>
        <w:rPr>
          <w:sz w:val="24"/>
          <w:szCs w:val="24"/>
        </w:rPr>
        <w:t xml:space="preserve">gov.uk domain are being used to perpetrate security threats, such as pharming, phishing, malware, and botnets. </w:t>
      </w:r>
    </w:p>
    <w:p w:rsidR="00FF0DAA" w:rsidRDefault="0029045F">
      <w:pPr>
        <w:pStyle w:val="Heading2"/>
        <w:numPr>
          <w:ilvl w:val="1"/>
          <w:numId w:val="6"/>
        </w:numPr>
      </w:pPr>
      <w:bookmarkStart w:id="43" w:name="_heading=h.vx1227" w:colFirst="0" w:colLast="0"/>
      <w:bookmarkEnd w:id="43"/>
      <w:r>
        <w:lastRenderedPageBreak/>
        <w:t>Anomaly detection</w:t>
      </w:r>
    </w:p>
    <w:p w:rsidR="00FF0DAA" w:rsidRDefault="0029045F">
      <w:pPr>
        <w:numPr>
          <w:ilvl w:val="2"/>
          <w:numId w:val="6"/>
        </w:numPr>
      </w:pPr>
      <w:r>
        <w:rPr>
          <w:sz w:val="24"/>
          <w:szCs w:val="24"/>
        </w:rPr>
        <w:t>The Supplier shall use analytical and other techniques to identify anomalous behaviour by end-points performing domain lookups. The Supplier shall ensure that these techniques continue to stay current with industry best practice over time.</w:t>
      </w:r>
    </w:p>
    <w:p w:rsidR="00FF0DAA" w:rsidRDefault="00FF0DAA">
      <w:pPr>
        <w:spacing w:after="200"/>
        <w:ind w:left="1712"/>
        <w:rPr>
          <w:sz w:val="24"/>
          <w:szCs w:val="24"/>
        </w:rPr>
      </w:pPr>
    </w:p>
    <w:p w:rsidR="00FF0DAA" w:rsidRDefault="0029045F">
      <w:pPr>
        <w:numPr>
          <w:ilvl w:val="2"/>
          <w:numId w:val="6"/>
        </w:numPr>
        <w:spacing w:after="200"/>
      </w:pPr>
      <w:r>
        <w:rPr>
          <w:sz w:val="24"/>
          <w:szCs w:val="24"/>
        </w:rPr>
        <w:t>The Supplier sh</w:t>
      </w:r>
      <w:r>
        <w:rPr>
          <w:sz w:val="24"/>
          <w:szCs w:val="24"/>
        </w:rPr>
        <w:t>all notify the Critical Domain Holder in the event of anomalous activity that threatens the availability of the service.</w:t>
      </w:r>
      <w:r>
        <w:rPr>
          <w:sz w:val="24"/>
          <w:szCs w:val="24"/>
        </w:rPr>
        <w:br/>
      </w:r>
    </w:p>
    <w:p w:rsidR="00FF0DAA" w:rsidRDefault="0029045F">
      <w:pPr>
        <w:pStyle w:val="Heading2"/>
        <w:numPr>
          <w:ilvl w:val="1"/>
          <w:numId w:val="6"/>
        </w:numPr>
      </w:pPr>
      <w:bookmarkStart w:id="44" w:name="_heading=h.3fwokq0" w:colFirst="0" w:colLast="0"/>
      <w:bookmarkEnd w:id="44"/>
      <w:r>
        <w:t>Analytics and technical management meetings</w:t>
      </w:r>
    </w:p>
    <w:p w:rsidR="00FF0DAA" w:rsidRDefault="0029045F">
      <w:pPr>
        <w:numPr>
          <w:ilvl w:val="2"/>
          <w:numId w:val="6"/>
        </w:numPr>
        <w:rPr>
          <w:sz w:val="26"/>
          <w:szCs w:val="26"/>
        </w:rPr>
      </w:pPr>
      <w:r>
        <w:rPr>
          <w:sz w:val="24"/>
          <w:szCs w:val="24"/>
        </w:rPr>
        <w:t>The Supplier shall provide statistical and analytical information to the Critical Domain H</w:t>
      </w:r>
      <w:r>
        <w:rPr>
          <w:sz w:val="24"/>
          <w:szCs w:val="24"/>
        </w:rPr>
        <w:t xml:space="preserve">older at technical management meetings as described in </w:t>
      </w:r>
      <w:hyperlink w:anchor="_heading=h.25b2l0r">
        <w:r>
          <w:rPr>
            <w:color w:val="1155CC"/>
            <w:sz w:val="24"/>
            <w:szCs w:val="24"/>
            <w:u w:val="single"/>
          </w:rPr>
          <w:t>Technical management</w:t>
        </w:r>
      </w:hyperlink>
      <w:r>
        <w:rPr>
          <w:sz w:val="24"/>
          <w:szCs w:val="24"/>
        </w:rPr>
        <w:t>. The Supplier shall include information about trends and anomalous behaviour, and shall include, during the contract term:</w:t>
      </w:r>
    </w:p>
    <w:p w:rsidR="00FF0DAA" w:rsidRDefault="0029045F">
      <w:pPr>
        <w:rPr>
          <w:sz w:val="24"/>
          <w:szCs w:val="24"/>
        </w:rPr>
      </w:pPr>
      <w:r>
        <w:rPr>
          <w:sz w:val="24"/>
          <w:szCs w:val="24"/>
        </w:rPr>
        <w:tab/>
      </w:r>
    </w:p>
    <w:p w:rsidR="00FF0DAA" w:rsidRDefault="0029045F">
      <w:pPr>
        <w:numPr>
          <w:ilvl w:val="3"/>
          <w:numId w:val="6"/>
        </w:numPr>
      </w:pPr>
      <w:r>
        <w:rPr>
          <w:b/>
          <w:sz w:val="24"/>
          <w:szCs w:val="24"/>
        </w:rPr>
        <w:t>Service Levels</w:t>
      </w:r>
      <w:r>
        <w:rPr>
          <w:b/>
          <w:sz w:val="24"/>
          <w:szCs w:val="24"/>
        </w:rPr>
        <w:t xml:space="preserve">: </w:t>
      </w:r>
      <w:r>
        <w:rPr>
          <w:sz w:val="24"/>
          <w:szCs w:val="24"/>
        </w:rPr>
        <w:t xml:space="preserve">a review of actual performance against service levels, for each service </w:t>
      </w:r>
      <w:proofErr w:type="spellStart"/>
      <w:r>
        <w:rPr>
          <w:sz w:val="24"/>
          <w:szCs w:val="24"/>
        </w:rPr>
        <w:t>Service</w:t>
      </w:r>
      <w:proofErr w:type="spellEnd"/>
      <w:r>
        <w:rPr>
          <w:sz w:val="24"/>
          <w:szCs w:val="24"/>
        </w:rPr>
        <w:t xml:space="preserve"> Level Performance Criteria;</w:t>
      </w:r>
    </w:p>
    <w:p w:rsidR="00FF0DAA" w:rsidRDefault="00FF0DAA">
      <w:pPr>
        <w:rPr>
          <w:sz w:val="24"/>
          <w:szCs w:val="24"/>
        </w:rPr>
      </w:pPr>
    </w:p>
    <w:p w:rsidR="00FF0DAA" w:rsidRDefault="0029045F">
      <w:pPr>
        <w:numPr>
          <w:ilvl w:val="3"/>
          <w:numId w:val="6"/>
        </w:numPr>
        <w:rPr>
          <w:sz w:val="24"/>
          <w:szCs w:val="24"/>
        </w:rPr>
      </w:pPr>
      <w:r>
        <w:rPr>
          <w:b/>
          <w:sz w:val="24"/>
          <w:szCs w:val="24"/>
        </w:rPr>
        <w:t>Information on wider industry developments:</w:t>
      </w:r>
      <w:r>
        <w:rPr>
          <w:sz w:val="24"/>
          <w:szCs w:val="24"/>
        </w:rPr>
        <w:t xml:space="preserve"> to give Critical Domain Holder advance notice of any strategic and operational matters concerning the</w:t>
      </w:r>
      <w:r>
        <w:rPr>
          <w:sz w:val="24"/>
          <w:szCs w:val="24"/>
        </w:rPr>
        <w:t xml:space="preserve"> Supplier, including Corporate Governance Updates;</w:t>
      </w:r>
    </w:p>
    <w:p w:rsidR="00FF0DAA" w:rsidRDefault="00FF0DAA">
      <w:pPr>
        <w:ind w:left="2562"/>
        <w:rPr>
          <w:sz w:val="24"/>
          <w:szCs w:val="24"/>
        </w:rPr>
      </w:pPr>
    </w:p>
    <w:p w:rsidR="00FF0DAA" w:rsidRDefault="0029045F">
      <w:pPr>
        <w:numPr>
          <w:ilvl w:val="3"/>
          <w:numId w:val="6"/>
        </w:numPr>
        <w:rPr>
          <w:sz w:val="24"/>
          <w:szCs w:val="24"/>
        </w:rPr>
      </w:pPr>
      <w:r>
        <w:rPr>
          <w:b/>
          <w:sz w:val="24"/>
          <w:szCs w:val="24"/>
        </w:rPr>
        <w:t>Any updates, in confidence, on future DNS strategy:</w:t>
      </w:r>
      <w:r>
        <w:rPr>
          <w:sz w:val="24"/>
          <w:szCs w:val="24"/>
        </w:rPr>
        <w:t xml:space="preserve"> in respect of continuing to be capable of being resilient to global-scale malicious attacks;</w:t>
      </w:r>
    </w:p>
    <w:p w:rsidR="00FF0DAA" w:rsidRDefault="00FF0DAA">
      <w:pPr>
        <w:ind w:left="2562"/>
        <w:rPr>
          <w:sz w:val="24"/>
          <w:szCs w:val="24"/>
        </w:rPr>
      </w:pPr>
    </w:p>
    <w:p w:rsidR="00FF0DAA" w:rsidRDefault="0029045F">
      <w:pPr>
        <w:numPr>
          <w:ilvl w:val="3"/>
          <w:numId w:val="6"/>
        </w:numPr>
      </w:pPr>
      <w:r>
        <w:rPr>
          <w:b/>
          <w:sz w:val="24"/>
          <w:szCs w:val="24"/>
        </w:rPr>
        <w:t xml:space="preserve">Security threats: </w:t>
      </w:r>
      <w:r>
        <w:rPr>
          <w:sz w:val="24"/>
          <w:szCs w:val="24"/>
        </w:rPr>
        <w:t>statistics on the number of security thr</w:t>
      </w:r>
      <w:r>
        <w:rPr>
          <w:sz w:val="24"/>
          <w:szCs w:val="24"/>
        </w:rPr>
        <w:t xml:space="preserve">eats identified with respect to the use </w:t>
      </w:r>
      <w:proofErr w:type="gramStart"/>
      <w:r>
        <w:rPr>
          <w:sz w:val="24"/>
          <w:szCs w:val="24"/>
        </w:rPr>
        <w:t>of .</w:t>
      </w:r>
      <w:proofErr w:type="gramEnd"/>
      <w:r>
        <w:rPr>
          <w:sz w:val="24"/>
          <w:szCs w:val="24"/>
        </w:rPr>
        <w:t xml:space="preserve">gov.uk domain names, details of actions taken as a result of the periodic security checks by the Supplier and independent recognised sources, and details of what countermeasures the Supplier </w:t>
      </w:r>
      <w:r>
        <w:rPr>
          <w:sz w:val="24"/>
          <w:szCs w:val="24"/>
        </w:rPr>
        <w:lastRenderedPageBreak/>
        <w:t>is adopting;</w:t>
      </w:r>
      <w:r>
        <w:rPr>
          <w:sz w:val="24"/>
          <w:szCs w:val="24"/>
        </w:rPr>
        <w:br/>
      </w:r>
    </w:p>
    <w:p w:rsidR="00FF0DAA" w:rsidRDefault="0029045F">
      <w:pPr>
        <w:numPr>
          <w:ilvl w:val="3"/>
          <w:numId w:val="6"/>
        </w:numPr>
      </w:pPr>
      <w:r>
        <w:rPr>
          <w:b/>
          <w:sz w:val="24"/>
          <w:szCs w:val="24"/>
        </w:rPr>
        <w:t>QPS spi</w:t>
      </w:r>
      <w:r>
        <w:rPr>
          <w:b/>
          <w:sz w:val="24"/>
          <w:szCs w:val="24"/>
        </w:rPr>
        <w:t xml:space="preserve">kes: </w:t>
      </w:r>
      <w:r>
        <w:rPr>
          <w:sz w:val="24"/>
          <w:szCs w:val="24"/>
        </w:rPr>
        <w:t xml:space="preserve">Where the QPS rate has significant </w:t>
      </w:r>
      <w:proofErr w:type="gramStart"/>
      <w:r>
        <w:rPr>
          <w:sz w:val="24"/>
          <w:szCs w:val="24"/>
        </w:rPr>
        <w:t>spikes</w:t>
      </w:r>
      <w:proofErr w:type="gramEnd"/>
      <w:r>
        <w:rPr>
          <w:sz w:val="24"/>
          <w:szCs w:val="24"/>
        </w:rPr>
        <w:t xml:space="preserve"> which might be classified as ‘of interest’, the Supplier shall provide adequate detail as to what had been experienced;</w:t>
      </w:r>
      <w:r>
        <w:rPr>
          <w:sz w:val="24"/>
          <w:szCs w:val="24"/>
        </w:rPr>
        <w:br/>
      </w:r>
    </w:p>
    <w:p w:rsidR="00FF0DAA" w:rsidRDefault="0029045F">
      <w:pPr>
        <w:numPr>
          <w:ilvl w:val="3"/>
          <w:numId w:val="6"/>
        </w:numPr>
      </w:pPr>
      <w:r>
        <w:rPr>
          <w:b/>
          <w:sz w:val="24"/>
          <w:szCs w:val="24"/>
        </w:rPr>
        <w:t xml:space="preserve">DNS analytics: </w:t>
      </w:r>
      <w:r>
        <w:rPr>
          <w:sz w:val="24"/>
          <w:szCs w:val="24"/>
        </w:rPr>
        <w:t>detailed analytics on DNS queries;</w:t>
      </w:r>
      <w:r>
        <w:rPr>
          <w:sz w:val="24"/>
          <w:szCs w:val="24"/>
        </w:rPr>
        <w:br/>
      </w:r>
    </w:p>
    <w:p w:rsidR="00FF0DAA" w:rsidRDefault="0029045F">
      <w:pPr>
        <w:numPr>
          <w:ilvl w:val="3"/>
          <w:numId w:val="6"/>
        </w:numPr>
      </w:pPr>
      <w:r>
        <w:rPr>
          <w:b/>
          <w:sz w:val="24"/>
          <w:szCs w:val="24"/>
        </w:rPr>
        <w:t xml:space="preserve">Registry analytics: </w:t>
      </w:r>
      <w:r>
        <w:rPr>
          <w:sz w:val="24"/>
          <w:szCs w:val="24"/>
        </w:rPr>
        <w:t>to include number</w:t>
      </w:r>
      <w:r>
        <w:rPr>
          <w:sz w:val="24"/>
          <w:szCs w:val="24"/>
        </w:rPr>
        <w:t>s of domains registered, created, transferred, renewed, expired and deleted;</w:t>
      </w:r>
      <w:r>
        <w:rPr>
          <w:sz w:val="24"/>
          <w:szCs w:val="24"/>
        </w:rPr>
        <w:br/>
      </w:r>
    </w:p>
    <w:p w:rsidR="00FF0DAA" w:rsidRDefault="0029045F">
      <w:pPr>
        <w:numPr>
          <w:ilvl w:val="3"/>
          <w:numId w:val="6"/>
        </w:numPr>
      </w:pPr>
      <w:r>
        <w:rPr>
          <w:b/>
          <w:sz w:val="24"/>
          <w:szCs w:val="24"/>
        </w:rPr>
        <w:t xml:space="preserve">RDDS (WHOIS/RDAP) service activity: </w:t>
      </w:r>
      <w:r>
        <w:rPr>
          <w:sz w:val="24"/>
          <w:szCs w:val="24"/>
        </w:rPr>
        <w:t xml:space="preserve">displaying the total number of RDDS (WHOIS/RDAP) queries for the specified period, grouped by namespace within </w:t>
      </w:r>
      <w:proofErr w:type="gramStart"/>
      <w:r>
        <w:rPr>
          <w:sz w:val="24"/>
          <w:szCs w:val="24"/>
        </w:rPr>
        <w:t>the .</w:t>
      </w:r>
      <w:proofErr w:type="gramEnd"/>
      <w:r>
        <w:rPr>
          <w:sz w:val="24"/>
          <w:szCs w:val="24"/>
        </w:rPr>
        <w:t>gov.uk domain, and blocked</w:t>
      </w:r>
      <w:r>
        <w:rPr>
          <w:sz w:val="24"/>
          <w:szCs w:val="24"/>
        </w:rPr>
        <w:t xml:space="preserve"> requests;</w:t>
      </w:r>
    </w:p>
    <w:p w:rsidR="00FF0DAA" w:rsidRDefault="00FF0DAA">
      <w:pPr>
        <w:ind w:left="2562"/>
        <w:rPr>
          <w:sz w:val="24"/>
          <w:szCs w:val="24"/>
        </w:rPr>
      </w:pPr>
    </w:p>
    <w:p w:rsidR="00FF0DAA" w:rsidRDefault="0029045F">
      <w:pPr>
        <w:numPr>
          <w:ilvl w:val="3"/>
          <w:numId w:val="6"/>
        </w:numPr>
      </w:pPr>
      <w:r>
        <w:rPr>
          <w:b/>
          <w:sz w:val="24"/>
          <w:szCs w:val="24"/>
        </w:rPr>
        <w:t xml:space="preserve">Lifecycle: </w:t>
      </w:r>
      <w:r>
        <w:rPr>
          <w:sz w:val="24"/>
          <w:szCs w:val="24"/>
        </w:rPr>
        <w:t xml:space="preserve">information about how many domains are in each stage of the agreed domain lifecycle; </w:t>
      </w:r>
      <w:r>
        <w:rPr>
          <w:sz w:val="24"/>
          <w:szCs w:val="24"/>
        </w:rPr>
        <w:br/>
      </w:r>
    </w:p>
    <w:p w:rsidR="00FF0DAA" w:rsidRDefault="0029045F">
      <w:pPr>
        <w:numPr>
          <w:ilvl w:val="3"/>
          <w:numId w:val="6"/>
        </w:numPr>
      </w:pPr>
      <w:r>
        <w:rPr>
          <w:b/>
          <w:sz w:val="24"/>
          <w:szCs w:val="24"/>
        </w:rPr>
        <w:t xml:space="preserve">Registrar contacts: </w:t>
      </w:r>
      <w:r>
        <w:rPr>
          <w:sz w:val="24"/>
          <w:szCs w:val="24"/>
        </w:rPr>
        <w:t>any Registrars contact details that have not been verified recently or who are not responding;</w:t>
      </w:r>
    </w:p>
    <w:p w:rsidR="00FF0DAA" w:rsidRDefault="00FF0DAA">
      <w:pPr>
        <w:ind w:left="2562"/>
        <w:rPr>
          <w:sz w:val="24"/>
          <w:szCs w:val="24"/>
        </w:rPr>
      </w:pPr>
    </w:p>
    <w:p w:rsidR="00FF0DAA" w:rsidRDefault="0029045F">
      <w:pPr>
        <w:numPr>
          <w:ilvl w:val="3"/>
          <w:numId w:val="6"/>
        </w:numPr>
      </w:pPr>
      <w:r>
        <w:rPr>
          <w:b/>
          <w:sz w:val="24"/>
          <w:szCs w:val="24"/>
        </w:rPr>
        <w:t xml:space="preserve">Registrant contacts: </w:t>
      </w:r>
      <w:r>
        <w:rPr>
          <w:sz w:val="24"/>
          <w:szCs w:val="24"/>
        </w:rPr>
        <w:t>any Regis</w:t>
      </w:r>
      <w:r>
        <w:rPr>
          <w:sz w:val="24"/>
          <w:szCs w:val="24"/>
        </w:rPr>
        <w:t>trant contact details that have not been verified recently or who are not responding;</w:t>
      </w:r>
      <w:r>
        <w:rPr>
          <w:sz w:val="24"/>
          <w:szCs w:val="24"/>
        </w:rPr>
        <w:br/>
      </w:r>
    </w:p>
    <w:p w:rsidR="00FF0DAA" w:rsidRDefault="0029045F">
      <w:pPr>
        <w:numPr>
          <w:ilvl w:val="3"/>
          <w:numId w:val="6"/>
        </w:numPr>
      </w:pPr>
      <w:r>
        <w:rPr>
          <w:b/>
          <w:sz w:val="24"/>
          <w:szCs w:val="24"/>
        </w:rPr>
        <w:t xml:space="preserve">Outages: </w:t>
      </w:r>
      <w:r>
        <w:rPr>
          <w:sz w:val="24"/>
          <w:szCs w:val="24"/>
        </w:rPr>
        <w:t>listing of all recent or future planned or unplanned services outages;</w:t>
      </w:r>
      <w:r>
        <w:rPr>
          <w:sz w:val="24"/>
          <w:szCs w:val="24"/>
        </w:rPr>
        <w:br/>
      </w:r>
    </w:p>
    <w:p w:rsidR="00FF0DAA" w:rsidRDefault="0029045F">
      <w:pPr>
        <w:numPr>
          <w:ilvl w:val="3"/>
          <w:numId w:val="6"/>
        </w:numPr>
      </w:pPr>
      <w:r>
        <w:rPr>
          <w:b/>
          <w:sz w:val="24"/>
          <w:szCs w:val="24"/>
        </w:rPr>
        <w:t>Service incidents:</w:t>
      </w:r>
      <w:r>
        <w:rPr>
          <w:sz w:val="24"/>
          <w:szCs w:val="24"/>
        </w:rPr>
        <w:t xml:space="preserve"> a summary of service </w:t>
      </w:r>
      <w:proofErr w:type="gramStart"/>
      <w:r>
        <w:rPr>
          <w:sz w:val="24"/>
          <w:szCs w:val="24"/>
        </w:rPr>
        <w:t>incidents,  severity</w:t>
      </w:r>
      <w:proofErr w:type="gramEnd"/>
      <w:r>
        <w:rPr>
          <w:sz w:val="24"/>
          <w:szCs w:val="24"/>
        </w:rPr>
        <w:t>, and resolution times;</w:t>
      </w:r>
      <w:r>
        <w:rPr>
          <w:sz w:val="24"/>
          <w:szCs w:val="24"/>
        </w:rPr>
        <w:br/>
      </w:r>
    </w:p>
    <w:p w:rsidR="00FF0DAA" w:rsidRDefault="0029045F">
      <w:pPr>
        <w:numPr>
          <w:ilvl w:val="3"/>
          <w:numId w:val="6"/>
        </w:numPr>
      </w:pPr>
      <w:r>
        <w:rPr>
          <w:b/>
          <w:sz w:val="24"/>
          <w:szCs w:val="24"/>
        </w:rPr>
        <w:t>Registrar helpdesk enquiry:</w:t>
      </w:r>
      <w:r>
        <w:rPr>
          <w:sz w:val="24"/>
          <w:szCs w:val="24"/>
        </w:rPr>
        <w:t xml:space="preserve"> listing details and number of enquiries received from the Registrar helpdesk enquiries for the specified month;</w:t>
      </w:r>
      <w:r>
        <w:rPr>
          <w:sz w:val="24"/>
          <w:szCs w:val="24"/>
        </w:rPr>
        <w:br/>
      </w:r>
    </w:p>
    <w:p w:rsidR="00FF0DAA" w:rsidRDefault="0029045F">
      <w:pPr>
        <w:numPr>
          <w:ilvl w:val="3"/>
          <w:numId w:val="6"/>
        </w:numPr>
      </w:pPr>
      <w:r>
        <w:rPr>
          <w:b/>
          <w:sz w:val="24"/>
          <w:szCs w:val="24"/>
        </w:rPr>
        <w:t>Registrar onboarding:</w:t>
      </w:r>
      <w:r>
        <w:rPr>
          <w:sz w:val="24"/>
          <w:szCs w:val="24"/>
        </w:rPr>
        <w:t xml:space="preserve"> listing the number of Registrars onboarded or removed from </w:t>
      </w:r>
      <w:proofErr w:type="gramStart"/>
      <w:r>
        <w:rPr>
          <w:sz w:val="24"/>
          <w:szCs w:val="24"/>
        </w:rPr>
        <w:t>the .</w:t>
      </w:r>
      <w:proofErr w:type="gramEnd"/>
      <w:r>
        <w:rPr>
          <w:sz w:val="24"/>
          <w:szCs w:val="24"/>
        </w:rPr>
        <w:t xml:space="preserve">gov.uk Approved Registrar </w:t>
      </w:r>
      <w:r>
        <w:rPr>
          <w:sz w:val="24"/>
          <w:szCs w:val="24"/>
        </w:rPr>
        <w:lastRenderedPageBreak/>
        <w:t>marketplace;</w:t>
      </w:r>
      <w:r>
        <w:rPr>
          <w:sz w:val="24"/>
          <w:szCs w:val="24"/>
        </w:rPr>
        <w:br/>
      </w:r>
    </w:p>
    <w:p w:rsidR="00FF0DAA" w:rsidRDefault="0029045F">
      <w:pPr>
        <w:numPr>
          <w:ilvl w:val="3"/>
          <w:numId w:val="6"/>
        </w:numPr>
        <w:spacing w:after="200"/>
      </w:pPr>
      <w:r>
        <w:rPr>
          <w:b/>
          <w:sz w:val="24"/>
          <w:szCs w:val="24"/>
        </w:rPr>
        <w:t>Registrar compliance:</w:t>
      </w:r>
      <w:r>
        <w:rPr>
          <w:sz w:val="24"/>
          <w:szCs w:val="24"/>
        </w:rPr>
        <w:t xml:space="preserve"> setting out the current compliance status of Registrars against the Criteria for a gov.uk Approved Registrar.</w:t>
      </w:r>
    </w:p>
    <w:p w:rsidR="00FF0DAA" w:rsidRDefault="00FF0DAA"/>
    <w:p w:rsidR="00FF0DAA" w:rsidRDefault="0029045F">
      <w:pPr>
        <w:pStyle w:val="Heading1"/>
        <w:numPr>
          <w:ilvl w:val="0"/>
          <w:numId w:val="6"/>
        </w:numPr>
      </w:pPr>
      <w:bookmarkStart w:id="45" w:name="_heading=h.1v1yuxt" w:colFirst="0" w:colLast="0"/>
      <w:bookmarkEnd w:id="45"/>
      <w:r>
        <w:t>Key Performance In</w:t>
      </w:r>
      <w:r>
        <w:t>dicators (KPIs)</w:t>
      </w:r>
    </w:p>
    <w:p w:rsidR="00FF0DAA" w:rsidRDefault="0029045F">
      <w:pPr>
        <w:numPr>
          <w:ilvl w:val="1"/>
          <w:numId w:val="6"/>
        </w:numPr>
      </w:pPr>
      <w:r>
        <w:rPr>
          <w:sz w:val="24"/>
          <w:szCs w:val="24"/>
        </w:rPr>
        <w:t>The Supplier shall ensure that the service is delivered effectively and improves over time by monitoring the agreed KPIs, as defined in Call-Off Schedule 14.</w:t>
      </w:r>
    </w:p>
    <w:p w:rsidR="00FF0DAA" w:rsidRDefault="00FF0DAA">
      <w:pPr>
        <w:ind w:left="1145"/>
        <w:rPr>
          <w:sz w:val="24"/>
          <w:szCs w:val="24"/>
        </w:rPr>
      </w:pPr>
    </w:p>
    <w:p w:rsidR="00FF0DAA" w:rsidRDefault="0029045F">
      <w:pPr>
        <w:rPr>
          <w:sz w:val="24"/>
          <w:szCs w:val="24"/>
        </w:rPr>
      </w:pPr>
      <w:r>
        <w:rPr>
          <w:i/>
          <w:sz w:val="24"/>
          <w:szCs w:val="24"/>
        </w:rPr>
        <w:t>See also Call-Off Schedule 14 for relevant service level requirements</w:t>
      </w:r>
    </w:p>
    <w:p w:rsidR="00FF0DAA" w:rsidRDefault="0029045F">
      <w:pPr>
        <w:pStyle w:val="Heading1"/>
        <w:numPr>
          <w:ilvl w:val="0"/>
          <w:numId w:val="6"/>
        </w:numPr>
      </w:pPr>
      <w:bookmarkStart w:id="46" w:name="_heading=h.4f1mdlm" w:colFirst="0" w:colLast="0"/>
      <w:bookmarkEnd w:id="46"/>
      <w:r>
        <w:t>Incidents</w:t>
      </w:r>
    </w:p>
    <w:p w:rsidR="00FF0DAA" w:rsidRDefault="0029045F">
      <w:pPr>
        <w:pStyle w:val="Heading2"/>
        <w:numPr>
          <w:ilvl w:val="1"/>
          <w:numId w:val="6"/>
        </w:numPr>
      </w:pPr>
      <w:bookmarkStart w:id="47" w:name="_heading=h.2u6wntf" w:colFirst="0" w:colLast="0"/>
      <w:bookmarkEnd w:id="47"/>
      <w:r>
        <w:t>E</w:t>
      </w:r>
      <w:r>
        <w:t>xternal Dependencies</w:t>
      </w:r>
    </w:p>
    <w:p w:rsidR="00FF0DAA" w:rsidRDefault="0029045F">
      <w:pPr>
        <w:numPr>
          <w:ilvl w:val="2"/>
          <w:numId w:val="6"/>
        </w:numPr>
        <w:spacing w:after="200"/>
      </w:pPr>
      <w:r>
        <w:rPr>
          <w:sz w:val="24"/>
          <w:szCs w:val="24"/>
        </w:rPr>
        <w:t xml:space="preserve">The Critical Domain Holder recognises that in some circumstances, such as the catastrophic failure of a higher level in the DNS hierarchy, the DNS service availability may be wholly beyond the Supplier’s control; in such circumstances </w:t>
      </w:r>
      <w:r>
        <w:rPr>
          <w:sz w:val="24"/>
          <w:szCs w:val="24"/>
        </w:rPr>
        <w:t>the Supplier will not be deemed to have suffered a degraded service.</w:t>
      </w:r>
    </w:p>
    <w:p w:rsidR="00FF0DAA" w:rsidRDefault="0029045F">
      <w:pPr>
        <w:pStyle w:val="Heading2"/>
        <w:numPr>
          <w:ilvl w:val="1"/>
          <w:numId w:val="6"/>
        </w:numPr>
      </w:pPr>
      <w:bookmarkStart w:id="48" w:name="_heading=h.19c6y18" w:colFirst="0" w:colLast="0"/>
      <w:bookmarkEnd w:id="48"/>
      <w:r>
        <w:t>Emergency Incidents</w:t>
      </w:r>
    </w:p>
    <w:p w:rsidR="00FF0DAA" w:rsidRDefault="0029045F">
      <w:pPr>
        <w:numPr>
          <w:ilvl w:val="2"/>
          <w:numId w:val="6"/>
        </w:numPr>
      </w:pPr>
      <w:r>
        <w:rPr>
          <w:sz w:val="24"/>
          <w:szCs w:val="24"/>
        </w:rPr>
        <w:t>The Supplier shall raise an Emergency Incident and shall notify the Critical Domain Holder where there is failure or imminent likely failure of DNS or DNSSEC proper re</w:t>
      </w:r>
      <w:r>
        <w:rPr>
          <w:sz w:val="24"/>
          <w:szCs w:val="24"/>
        </w:rPr>
        <w:t>solution for the delegated zone. As stated in clause 3.2.3.2.</w:t>
      </w:r>
    </w:p>
    <w:p w:rsidR="00FF0DAA" w:rsidRDefault="0029045F">
      <w:pPr>
        <w:pStyle w:val="Heading2"/>
        <w:numPr>
          <w:ilvl w:val="1"/>
          <w:numId w:val="6"/>
        </w:numPr>
      </w:pPr>
      <w:bookmarkStart w:id="49" w:name="_heading=h.3tbugp1" w:colFirst="0" w:colLast="0"/>
      <w:bookmarkEnd w:id="49"/>
      <w:r>
        <w:t>Major Incidents</w:t>
      </w:r>
    </w:p>
    <w:p w:rsidR="00FF0DAA" w:rsidRDefault="0029045F">
      <w:pPr>
        <w:numPr>
          <w:ilvl w:val="2"/>
          <w:numId w:val="6"/>
        </w:numPr>
      </w:pPr>
      <w:r>
        <w:rPr>
          <w:sz w:val="24"/>
          <w:szCs w:val="24"/>
        </w:rPr>
        <w:t xml:space="preserve">The Supplier shall raise a Major Incident and notify the Critical Domain Holder where there is loss or potential loss of any </w:t>
      </w:r>
      <w:r>
        <w:rPr>
          <w:sz w:val="24"/>
          <w:szCs w:val="24"/>
        </w:rPr>
        <w:lastRenderedPageBreak/>
        <w:t xml:space="preserve">component of the </w:t>
      </w:r>
      <w:proofErr w:type="gramStart"/>
      <w:r>
        <w:rPr>
          <w:sz w:val="24"/>
          <w:szCs w:val="24"/>
        </w:rPr>
        <w:t>Resilient .</w:t>
      </w:r>
      <w:proofErr w:type="gramEnd"/>
      <w:r>
        <w:rPr>
          <w:sz w:val="24"/>
          <w:szCs w:val="24"/>
        </w:rPr>
        <w:t xml:space="preserve">gov.uk Registry Services </w:t>
      </w:r>
      <w:r>
        <w:rPr>
          <w:sz w:val="24"/>
          <w:szCs w:val="24"/>
        </w:rPr>
        <w:t xml:space="preserve">to a large number of users. As stated in clause 3.2.3.1 </w:t>
      </w:r>
    </w:p>
    <w:p w:rsidR="00FF0DAA" w:rsidRDefault="00FF0DAA">
      <w:pPr>
        <w:spacing w:after="200"/>
        <w:rPr>
          <w:sz w:val="24"/>
          <w:szCs w:val="24"/>
        </w:rPr>
      </w:pPr>
    </w:p>
    <w:p w:rsidR="00FF0DAA" w:rsidRDefault="0029045F">
      <w:pPr>
        <w:pStyle w:val="Heading2"/>
        <w:numPr>
          <w:ilvl w:val="1"/>
          <w:numId w:val="6"/>
        </w:numPr>
      </w:pPr>
      <w:bookmarkStart w:id="50" w:name="_heading=h.28h4qwu" w:colFirst="0" w:colLast="0"/>
      <w:bookmarkEnd w:id="50"/>
      <w:r>
        <w:t>Major Business Incident</w:t>
      </w:r>
    </w:p>
    <w:p w:rsidR="00FF0DAA" w:rsidRDefault="0029045F">
      <w:pPr>
        <w:numPr>
          <w:ilvl w:val="2"/>
          <w:numId w:val="6"/>
        </w:numPr>
      </w:pPr>
      <w:r>
        <w:rPr>
          <w:b/>
          <w:sz w:val="24"/>
          <w:szCs w:val="24"/>
        </w:rPr>
        <w:t>Business continuity target:</w:t>
      </w:r>
      <w:r>
        <w:rPr>
          <w:sz w:val="24"/>
          <w:szCs w:val="24"/>
        </w:rPr>
        <w:t xml:space="preserve"> The Supplier shall raise a Major Business Incident in any of the following circumstances, and notify the Critical Domain Holder within the notific</w:t>
      </w:r>
      <w:r>
        <w:rPr>
          <w:sz w:val="24"/>
          <w:szCs w:val="24"/>
        </w:rPr>
        <w:t>ation period identified:</w:t>
      </w:r>
    </w:p>
    <w:p w:rsidR="00FF0DAA" w:rsidRDefault="00FF0DAA">
      <w:pPr>
        <w:ind w:left="1712"/>
        <w:rPr>
          <w:sz w:val="24"/>
          <w:szCs w:val="24"/>
        </w:rPr>
      </w:pPr>
    </w:p>
    <w:p w:rsidR="00FF0DAA" w:rsidRDefault="0029045F">
      <w:pPr>
        <w:numPr>
          <w:ilvl w:val="3"/>
          <w:numId w:val="6"/>
        </w:numPr>
      </w:pPr>
      <w:r>
        <w:rPr>
          <w:sz w:val="24"/>
          <w:szCs w:val="24"/>
        </w:rPr>
        <w:t xml:space="preserve">any circumstances which arise which will or are likely to materially adversely affect the ability of the Supplier to provide the Services. </w:t>
      </w:r>
      <w:r>
        <w:rPr>
          <w:b/>
          <w:sz w:val="24"/>
          <w:szCs w:val="24"/>
        </w:rPr>
        <w:t>Notification period: 24 hours;</w:t>
      </w:r>
    </w:p>
    <w:p w:rsidR="00FF0DAA" w:rsidRDefault="00FF0DAA">
      <w:pPr>
        <w:ind w:left="2562"/>
        <w:rPr>
          <w:sz w:val="24"/>
          <w:szCs w:val="24"/>
        </w:rPr>
      </w:pPr>
    </w:p>
    <w:p w:rsidR="00FF0DAA" w:rsidRDefault="0029045F">
      <w:pPr>
        <w:numPr>
          <w:ilvl w:val="3"/>
          <w:numId w:val="6"/>
        </w:numPr>
      </w:pPr>
      <w:r>
        <w:rPr>
          <w:sz w:val="24"/>
          <w:szCs w:val="24"/>
        </w:rPr>
        <w:t>any agreement or proposed agreement with HM Government that</w:t>
      </w:r>
      <w:r>
        <w:rPr>
          <w:sz w:val="24"/>
          <w:szCs w:val="24"/>
        </w:rPr>
        <w:t xml:space="preserve"> may have a material impact on this Agreement. </w:t>
      </w:r>
      <w:r>
        <w:rPr>
          <w:b/>
          <w:sz w:val="24"/>
          <w:szCs w:val="24"/>
        </w:rPr>
        <w:t>Notification period: 7 days;</w:t>
      </w:r>
    </w:p>
    <w:p w:rsidR="00FF0DAA" w:rsidRDefault="00FF0DAA">
      <w:pPr>
        <w:ind w:left="2562"/>
        <w:rPr>
          <w:sz w:val="24"/>
          <w:szCs w:val="24"/>
        </w:rPr>
      </w:pPr>
    </w:p>
    <w:p w:rsidR="00FF0DAA" w:rsidRDefault="0029045F">
      <w:pPr>
        <w:numPr>
          <w:ilvl w:val="3"/>
          <w:numId w:val="6"/>
        </w:numPr>
      </w:pPr>
      <w:r>
        <w:rPr>
          <w:sz w:val="24"/>
          <w:szCs w:val="24"/>
        </w:rPr>
        <w:t xml:space="preserve">any circumstances which may materially adversely impact on the management or operation of the Critical Domain. </w:t>
      </w:r>
      <w:r>
        <w:rPr>
          <w:b/>
          <w:sz w:val="24"/>
          <w:szCs w:val="24"/>
        </w:rPr>
        <w:t>Notification period: 7 days</w:t>
      </w:r>
      <w:r>
        <w:rPr>
          <w:sz w:val="24"/>
          <w:szCs w:val="24"/>
        </w:rPr>
        <w:t>;</w:t>
      </w:r>
      <w:r>
        <w:rPr>
          <w:sz w:val="24"/>
          <w:szCs w:val="24"/>
        </w:rPr>
        <w:br/>
      </w:r>
    </w:p>
    <w:p w:rsidR="00FF0DAA" w:rsidRDefault="0029045F">
      <w:pPr>
        <w:numPr>
          <w:ilvl w:val="3"/>
          <w:numId w:val="6"/>
        </w:numPr>
      </w:pPr>
      <w:r>
        <w:rPr>
          <w:sz w:val="24"/>
          <w:szCs w:val="24"/>
        </w:rPr>
        <w:t xml:space="preserve">any actual or likely unavailability of the DNS Service. </w:t>
      </w:r>
      <w:r>
        <w:rPr>
          <w:b/>
          <w:sz w:val="24"/>
          <w:szCs w:val="24"/>
        </w:rPr>
        <w:t>Notification period: 15 minutes;</w:t>
      </w:r>
      <w:r>
        <w:rPr>
          <w:b/>
          <w:sz w:val="24"/>
          <w:szCs w:val="24"/>
        </w:rPr>
        <w:br/>
      </w:r>
    </w:p>
    <w:p w:rsidR="00FF0DAA" w:rsidRDefault="0029045F">
      <w:pPr>
        <w:numPr>
          <w:ilvl w:val="3"/>
          <w:numId w:val="6"/>
        </w:numPr>
      </w:pPr>
      <w:r>
        <w:rPr>
          <w:sz w:val="24"/>
          <w:szCs w:val="24"/>
        </w:rPr>
        <w:t xml:space="preserve">any proposal that the Supplier cease to be a company limited by guarantee. </w:t>
      </w:r>
      <w:r>
        <w:rPr>
          <w:b/>
          <w:sz w:val="24"/>
          <w:szCs w:val="24"/>
        </w:rPr>
        <w:t>Notification period: 1 month;</w:t>
      </w:r>
      <w:r>
        <w:rPr>
          <w:sz w:val="24"/>
          <w:szCs w:val="24"/>
        </w:rPr>
        <w:br/>
      </w:r>
    </w:p>
    <w:p w:rsidR="00FF0DAA" w:rsidRDefault="0029045F">
      <w:pPr>
        <w:numPr>
          <w:ilvl w:val="3"/>
          <w:numId w:val="6"/>
        </w:numPr>
      </w:pPr>
      <w:r>
        <w:rPr>
          <w:sz w:val="24"/>
          <w:szCs w:val="24"/>
        </w:rPr>
        <w:t xml:space="preserve">any proposal to change control of the Supplier such that it </w:t>
      </w:r>
      <w:r>
        <w:rPr>
          <w:sz w:val="24"/>
          <w:szCs w:val="24"/>
        </w:rPr>
        <w:t xml:space="preserve">may not act in the interest of the UK Government. </w:t>
      </w:r>
      <w:r>
        <w:rPr>
          <w:b/>
          <w:sz w:val="24"/>
          <w:szCs w:val="24"/>
        </w:rPr>
        <w:t>Notification period: 1 month;</w:t>
      </w:r>
      <w:r>
        <w:rPr>
          <w:b/>
          <w:sz w:val="24"/>
          <w:szCs w:val="24"/>
        </w:rPr>
        <w:br/>
      </w:r>
    </w:p>
    <w:p w:rsidR="00FF0DAA" w:rsidRDefault="0029045F">
      <w:pPr>
        <w:numPr>
          <w:ilvl w:val="3"/>
          <w:numId w:val="6"/>
        </w:numPr>
      </w:pPr>
      <w:r>
        <w:rPr>
          <w:sz w:val="24"/>
          <w:szCs w:val="24"/>
        </w:rPr>
        <w:t>the possibility of the Supplier becoming (or in the Supplier's reasonable opinion being likely to become) controlled by a company which is not incorporated in the United Kingd</w:t>
      </w:r>
      <w:r>
        <w:rPr>
          <w:sz w:val="24"/>
          <w:szCs w:val="24"/>
        </w:rPr>
        <w:t xml:space="preserve">om or person who is not a lawful UK resident / does not hold a UK passport. </w:t>
      </w:r>
      <w:r>
        <w:rPr>
          <w:b/>
          <w:sz w:val="24"/>
          <w:szCs w:val="24"/>
        </w:rPr>
        <w:t>Notification period: 1 month;</w:t>
      </w:r>
      <w:r>
        <w:rPr>
          <w:b/>
          <w:sz w:val="24"/>
          <w:szCs w:val="24"/>
        </w:rPr>
        <w:br/>
      </w:r>
    </w:p>
    <w:p w:rsidR="00FF0DAA" w:rsidRDefault="0029045F">
      <w:pPr>
        <w:numPr>
          <w:ilvl w:val="3"/>
          <w:numId w:val="6"/>
        </w:numPr>
      </w:pPr>
      <w:r>
        <w:rPr>
          <w:sz w:val="24"/>
          <w:szCs w:val="24"/>
        </w:rPr>
        <w:lastRenderedPageBreak/>
        <w:t xml:space="preserve">The Supplier becoming aware of a potential Financial Distress Event. </w:t>
      </w:r>
      <w:r>
        <w:rPr>
          <w:b/>
          <w:sz w:val="24"/>
          <w:szCs w:val="24"/>
        </w:rPr>
        <w:t>Notification period: 1 month;</w:t>
      </w:r>
    </w:p>
    <w:p w:rsidR="00FF0DAA" w:rsidRDefault="00FF0DAA">
      <w:pPr>
        <w:spacing w:after="200"/>
        <w:rPr>
          <w:sz w:val="24"/>
          <w:szCs w:val="24"/>
        </w:rPr>
      </w:pPr>
    </w:p>
    <w:p w:rsidR="00FF0DAA" w:rsidRDefault="0029045F">
      <w:pPr>
        <w:pStyle w:val="Heading1"/>
        <w:numPr>
          <w:ilvl w:val="0"/>
          <w:numId w:val="6"/>
        </w:numPr>
      </w:pPr>
      <w:bookmarkStart w:id="51" w:name="_heading=h.nmf14n" w:colFirst="0" w:colLast="0"/>
      <w:bookmarkEnd w:id="51"/>
      <w:r>
        <w:t>Security assurance requirements</w:t>
      </w:r>
    </w:p>
    <w:p w:rsidR="00FF0DAA" w:rsidRDefault="00FF0DAA">
      <w:pPr>
        <w:rPr>
          <w:b/>
          <w:i/>
        </w:rPr>
      </w:pPr>
    </w:p>
    <w:p w:rsidR="00FF0DAA" w:rsidRDefault="0029045F">
      <w:pPr>
        <w:numPr>
          <w:ilvl w:val="1"/>
          <w:numId w:val="6"/>
        </w:numPr>
        <w:rPr>
          <w:sz w:val="24"/>
          <w:szCs w:val="24"/>
        </w:rPr>
      </w:pPr>
      <w:r>
        <w:rPr>
          <w:sz w:val="24"/>
          <w:szCs w:val="24"/>
        </w:rPr>
        <w:t>The Security ass</w:t>
      </w:r>
      <w:r>
        <w:rPr>
          <w:sz w:val="24"/>
          <w:szCs w:val="24"/>
        </w:rPr>
        <w:t>urance requirements are found in Call-Off Schedule 9, Security. Some requirements may be removed, at the sole discretion of the Critical Domain Holder</w:t>
      </w:r>
      <w:r>
        <w:rPr>
          <w:b/>
          <w:i/>
        </w:rPr>
        <w:t xml:space="preserve">. </w:t>
      </w:r>
      <w:r>
        <w:rPr>
          <w:sz w:val="24"/>
          <w:szCs w:val="24"/>
        </w:rPr>
        <w:t>See response to question 9.2 in Call-Off Schedule 4 and Call-Off Schedule 9 Security for further details</w:t>
      </w:r>
      <w:r>
        <w:rPr>
          <w:sz w:val="24"/>
          <w:szCs w:val="24"/>
        </w:rPr>
        <w:t>.</w:t>
      </w:r>
    </w:p>
    <w:p w:rsidR="00FF0DAA" w:rsidRDefault="0029045F">
      <w:pPr>
        <w:pStyle w:val="Heading1"/>
        <w:numPr>
          <w:ilvl w:val="0"/>
          <w:numId w:val="6"/>
        </w:numPr>
      </w:pPr>
      <w:bookmarkStart w:id="52" w:name="_heading=h.37m2jsg" w:colFirst="0" w:colLast="0"/>
      <w:bookmarkEnd w:id="52"/>
      <w:r>
        <w:t>Digital assurance requirements</w:t>
      </w:r>
    </w:p>
    <w:p w:rsidR="00FF0DAA" w:rsidRDefault="0029045F">
      <w:pPr>
        <w:numPr>
          <w:ilvl w:val="1"/>
          <w:numId w:val="6"/>
        </w:numPr>
        <w:spacing w:after="160" w:line="259" w:lineRule="auto"/>
        <w:rPr>
          <w:sz w:val="24"/>
          <w:szCs w:val="24"/>
        </w:rPr>
      </w:pPr>
      <w:r>
        <w:rPr>
          <w:sz w:val="24"/>
          <w:szCs w:val="24"/>
        </w:rPr>
        <w:t xml:space="preserve">The Supplier shall meet the requirements of the Cabinet Office found at the following link, for all new services or service enhancements: </w:t>
      </w:r>
      <w:hyperlink r:id="rId65">
        <w:r>
          <w:rPr>
            <w:color w:val="1155CC"/>
            <w:sz w:val="24"/>
            <w:szCs w:val="24"/>
            <w:u w:val="single"/>
          </w:rPr>
          <w:t>Service asse</w:t>
        </w:r>
        <w:r>
          <w:rPr>
            <w:color w:val="1155CC"/>
            <w:sz w:val="24"/>
            <w:szCs w:val="24"/>
            <w:u w:val="single"/>
          </w:rPr>
          <w:t>ssments and applying the Service Standard</w:t>
        </w:r>
      </w:hyperlink>
      <w:r>
        <w:rPr>
          <w:sz w:val="24"/>
          <w:szCs w:val="24"/>
        </w:rPr>
        <w:t>.</w:t>
      </w:r>
    </w:p>
    <w:p w:rsidR="00FF0DAA" w:rsidRDefault="0029045F">
      <w:pPr>
        <w:numPr>
          <w:ilvl w:val="1"/>
          <w:numId w:val="6"/>
        </w:numPr>
        <w:spacing w:after="160" w:line="259" w:lineRule="auto"/>
        <w:rPr>
          <w:sz w:val="24"/>
          <w:szCs w:val="24"/>
        </w:rPr>
      </w:pPr>
      <w:r>
        <w:rPr>
          <w:sz w:val="24"/>
          <w:szCs w:val="24"/>
        </w:rPr>
        <w:t>The Supplier shall meet the requirements of Call-Off Schedule 6, ICT Services.</w:t>
      </w:r>
    </w:p>
    <w:p w:rsidR="00FF0DAA" w:rsidRDefault="0029045F">
      <w:pPr>
        <w:pStyle w:val="Heading1"/>
        <w:numPr>
          <w:ilvl w:val="0"/>
          <w:numId w:val="6"/>
        </w:numPr>
      </w:pPr>
      <w:bookmarkStart w:id="53" w:name="_heading=h.1mrcu09" w:colFirst="0" w:colLast="0"/>
      <w:bookmarkEnd w:id="53"/>
      <w:r>
        <w:t>Business continuity and disaster recovery (BCDR) requirements</w:t>
      </w:r>
    </w:p>
    <w:p w:rsidR="00FF0DAA" w:rsidRDefault="0029045F">
      <w:pPr>
        <w:pStyle w:val="Heading2"/>
        <w:numPr>
          <w:ilvl w:val="1"/>
          <w:numId w:val="6"/>
        </w:numPr>
      </w:pPr>
      <w:bookmarkStart w:id="54" w:name="_heading=h.46r0co2" w:colFirst="0" w:colLast="0"/>
      <w:bookmarkEnd w:id="54"/>
      <w:r>
        <w:t>BCDR Plan</w:t>
      </w:r>
    </w:p>
    <w:p w:rsidR="00FF0DAA" w:rsidRDefault="00FF0DAA">
      <w:pPr>
        <w:rPr>
          <w:sz w:val="24"/>
          <w:szCs w:val="24"/>
        </w:rPr>
      </w:pPr>
    </w:p>
    <w:p w:rsidR="00FF0DAA" w:rsidRDefault="0029045F">
      <w:pPr>
        <w:numPr>
          <w:ilvl w:val="2"/>
          <w:numId w:val="6"/>
        </w:numPr>
      </w:pPr>
      <w:r>
        <w:rPr>
          <w:sz w:val="24"/>
          <w:szCs w:val="24"/>
        </w:rPr>
        <w:t xml:space="preserve">The Supplier shall maintain a BCDR plan in accordance with Call off Schedule 8 of this contract, which will provide for the maintenance of </w:t>
      </w:r>
      <w:proofErr w:type="gramStart"/>
      <w:r>
        <w:rPr>
          <w:sz w:val="24"/>
          <w:szCs w:val="24"/>
        </w:rPr>
        <w:t>Resilient .</w:t>
      </w:r>
      <w:proofErr w:type="gramEnd"/>
      <w:r>
        <w:rPr>
          <w:sz w:val="24"/>
          <w:szCs w:val="24"/>
        </w:rPr>
        <w:t>gov.uk Registry Services in the event of an extraordinary event beyond the control of the Supplier, and ma</w:t>
      </w:r>
      <w:r>
        <w:rPr>
          <w:sz w:val="24"/>
          <w:szCs w:val="24"/>
        </w:rPr>
        <w:t xml:space="preserve">y include the designation of a continuity provider for the Resilient .gov.uk Registry Services. If such a plan includes the designation of such a continuity provider, the Supplier shall provide the name and contact information for this continuity provider </w:t>
      </w:r>
      <w:r>
        <w:rPr>
          <w:sz w:val="24"/>
          <w:szCs w:val="24"/>
        </w:rPr>
        <w:t>to the Critical Domain Holder.</w:t>
      </w:r>
    </w:p>
    <w:p w:rsidR="00FF0DAA" w:rsidRDefault="00FF0DAA">
      <w:pPr>
        <w:ind w:left="1712"/>
        <w:rPr>
          <w:sz w:val="24"/>
          <w:szCs w:val="24"/>
        </w:rPr>
      </w:pPr>
    </w:p>
    <w:p w:rsidR="00FF0DAA" w:rsidRDefault="0029045F">
      <w:pPr>
        <w:numPr>
          <w:ilvl w:val="2"/>
          <w:numId w:val="6"/>
        </w:numPr>
      </w:pPr>
      <w:r>
        <w:rPr>
          <w:sz w:val="24"/>
          <w:szCs w:val="24"/>
        </w:rPr>
        <w:t>The Supplier shall ensure that the control centre for provision of the Service for the Critical Domain is (and remains) geographically located within the United Kingdom.</w:t>
      </w:r>
      <w:r>
        <w:rPr>
          <w:sz w:val="24"/>
          <w:szCs w:val="24"/>
        </w:rPr>
        <w:br/>
      </w:r>
      <w:r>
        <w:rPr>
          <w:sz w:val="24"/>
          <w:szCs w:val="24"/>
        </w:rPr>
        <w:br/>
      </w:r>
    </w:p>
    <w:p w:rsidR="00FF0DAA" w:rsidRDefault="0029045F">
      <w:pPr>
        <w:numPr>
          <w:ilvl w:val="2"/>
          <w:numId w:val="6"/>
        </w:numPr>
      </w:pPr>
      <w:r>
        <w:rPr>
          <w:sz w:val="24"/>
          <w:szCs w:val="24"/>
        </w:rPr>
        <w:t>In the case of an extraordinary event beyond the con</w:t>
      </w:r>
      <w:r>
        <w:rPr>
          <w:sz w:val="24"/>
          <w:szCs w:val="24"/>
        </w:rPr>
        <w:t xml:space="preserve">trol of the Supplier where the Supplier cannot be contacted, the Supplier consents that Critical Domain Holder may contact the designated continuity provider for </w:t>
      </w:r>
      <w:proofErr w:type="gramStart"/>
      <w:r>
        <w:rPr>
          <w:sz w:val="24"/>
          <w:szCs w:val="24"/>
        </w:rPr>
        <w:t>Resilient .</w:t>
      </w:r>
      <w:proofErr w:type="gramEnd"/>
      <w:r>
        <w:rPr>
          <w:sz w:val="24"/>
          <w:szCs w:val="24"/>
        </w:rPr>
        <w:t>gov.uk Registry Services, if one exists.</w:t>
      </w:r>
      <w:r>
        <w:rPr>
          <w:sz w:val="24"/>
          <w:szCs w:val="24"/>
        </w:rPr>
        <w:br/>
      </w:r>
    </w:p>
    <w:p w:rsidR="00FF0DAA" w:rsidRDefault="0029045F">
      <w:pPr>
        <w:numPr>
          <w:ilvl w:val="2"/>
          <w:numId w:val="6"/>
        </w:numPr>
      </w:pPr>
      <w:r>
        <w:rPr>
          <w:sz w:val="24"/>
          <w:szCs w:val="24"/>
        </w:rPr>
        <w:t>The Supplier shall conduct continuity tes</w:t>
      </w:r>
      <w:r>
        <w:rPr>
          <w:sz w:val="24"/>
          <w:szCs w:val="24"/>
        </w:rPr>
        <w:t xml:space="preserve">ting of the </w:t>
      </w:r>
      <w:proofErr w:type="gramStart"/>
      <w:r>
        <w:rPr>
          <w:sz w:val="24"/>
          <w:szCs w:val="24"/>
        </w:rPr>
        <w:t>Resilient .</w:t>
      </w:r>
      <w:proofErr w:type="gramEnd"/>
      <w:r>
        <w:rPr>
          <w:sz w:val="24"/>
          <w:szCs w:val="24"/>
        </w:rPr>
        <w:t>gov.uk Registry Services at least once per year.</w:t>
      </w:r>
    </w:p>
    <w:p w:rsidR="00FF0DAA" w:rsidRDefault="0029045F">
      <w:pPr>
        <w:rPr>
          <w:sz w:val="24"/>
          <w:szCs w:val="24"/>
        </w:rPr>
      </w:pPr>
      <w:r>
        <w:rPr>
          <w:sz w:val="24"/>
          <w:szCs w:val="24"/>
        </w:rPr>
        <w:br/>
      </w:r>
    </w:p>
    <w:p w:rsidR="00FF0DAA" w:rsidRDefault="0029045F">
      <w:pPr>
        <w:numPr>
          <w:ilvl w:val="2"/>
          <w:numId w:val="6"/>
        </w:numPr>
      </w:pPr>
      <w:r>
        <w:rPr>
          <w:sz w:val="24"/>
          <w:szCs w:val="24"/>
        </w:rPr>
        <w:t xml:space="preserve">The Parties understand that the operation of the Critical Domain to users of email and internet services depends on numerous </w:t>
      </w:r>
      <w:proofErr w:type="gramStart"/>
      <w:r>
        <w:rPr>
          <w:sz w:val="24"/>
          <w:szCs w:val="24"/>
        </w:rPr>
        <w:t>third party</w:t>
      </w:r>
      <w:proofErr w:type="gramEnd"/>
      <w:r>
        <w:rPr>
          <w:sz w:val="24"/>
          <w:szCs w:val="24"/>
        </w:rPr>
        <w:t xml:space="preserve"> dependencies which are not exclusively within</w:t>
      </w:r>
      <w:r>
        <w:rPr>
          <w:sz w:val="24"/>
          <w:szCs w:val="24"/>
        </w:rPr>
        <w:t xml:space="preserve"> the remit or control of either the Supplier or Critical Domain Holder. These include internet connectivity and operation of the root servers of the global DNS. Further the Supplier has no remit or control over the operation of the Critical Domain registry</w:t>
      </w:r>
      <w:r>
        <w:rPr>
          <w:sz w:val="24"/>
          <w:szCs w:val="24"/>
        </w:rPr>
        <w:t xml:space="preserve"> provision for which Critical Domain Holder is exclusively responsible (which includes the authoritative records required for the operation of the Critical Domain zone).</w:t>
      </w:r>
      <w:r>
        <w:rPr>
          <w:sz w:val="24"/>
          <w:szCs w:val="24"/>
        </w:rPr>
        <w:br/>
      </w:r>
    </w:p>
    <w:p w:rsidR="00FF0DAA" w:rsidRDefault="0029045F">
      <w:pPr>
        <w:pStyle w:val="Heading2"/>
        <w:numPr>
          <w:ilvl w:val="1"/>
          <w:numId w:val="6"/>
        </w:numPr>
      </w:pPr>
      <w:bookmarkStart w:id="55" w:name="_heading=h.2lwamvv" w:colFirst="0" w:colLast="0"/>
      <w:bookmarkEnd w:id="55"/>
      <w:r>
        <w:t>Emergency transition plan</w:t>
      </w:r>
    </w:p>
    <w:p w:rsidR="00FF0DAA" w:rsidRDefault="0029045F">
      <w:pPr>
        <w:numPr>
          <w:ilvl w:val="2"/>
          <w:numId w:val="6"/>
        </w:numPr>
      </w:pPr>
      <w:r>
        <w:rPr>
          <w:sz w:val="24"/>
          <w:szCs w:val="24"/>
        </w:rPr>
        <w:t xml:space="preserve">The Supplier shall provide the Critical Domain Holder or any such Emergency Operator with all data regarding operations of the Registry for the SLD necessary to maintain operations and Registry functions that may be reasonably requested by Critical Domain </w:t>
      </w:r>
      <w:r>
        <w:rPr>
          <w:sz w:val="24"/>
          <w:szCs w:val="24"/>
        </w:rPr>
        <w:t xml:space="preserve">Holder or such Emergency Operator. The Supplier agrees that Critical Domain Holder may make any changes it deems necessary to the IANA database for DNS and RDDS (WHOIS/RDAP) records </w:t>
      </w:r>
      <w:r>
        <w:rPr>
          <w:sz w:val="24"/>
          <w:szCs w:val="24"/>
        </w:rPr>
        <w:lastRenderedPageBreak/>
        <w:t xml:space="preserve">with respect </w:t>
      </w:r>
      <w:proofErr w:type="gramStart"/>
      <w:r>
        <w:rPr>
          <w:sz w:val="24"/>
          <w:szCs w:val="24"/>
        </w:rPr>
        <w:t>to .</w:t>
      </w:r>
      <w:proofErr w:type="gramEnd"/>
      <w:r>
        <w:rPr>
          <w:sz w:val="24"/>
          <w:szCs w:val="24"/>
        </w:rPr>
        <w:t xml:space="preserve">gov.uk in the event that an Emergency Operator is </w:t>
      </w:r>
      <w:proofErr w:type="spellStart"/>
      <w:r>
        <w:rPr>
          <w:sz w:val="24"/>
          <w:szCs w:val="24"/>
        </w:rPr>
        <w:t>designa</w:t>
      </w:r>
      <w:r>
        <w:rPr>
          <w:sz w:val="24"/>
          <w:szCs w:val="24"/>
        </w:rPr>
        <w:t>ted.See</w:t>
      </w:r>
      <w:proofErr w:type="spellEnd"/>
      <w:r>
        <w:rPr>
          <w:sz w:val="24"/>
          <w:szCs w:val="24"/>
        </w:rPr>
        <w:t xml:space="preserve"> response to question 12.2 in Call-Off Schedule 4 for further details.</w:t>
      </w:r>
    </w:p>
    <w:p w:rsidR="00FF0DAA" w:rsidRDefault="0029045F">
      <w:pPr>
        <w:ind w:left="1712"/>
      </w:pPr>
      <w:r>
        <w:rPr>
          <w:sz w:val="24"/>
          <w:szCs w:val="24"/>
        </w:rPr>
        <w:br/>
      </w:r>
    </w:p>
    <w:p w:rsidR="00FF0DAA" w:rsidRDefault="0029045F">
      <w:pPr>
        <w:numPr>
          <w:ilvl w:val="2"/>
          <w:numId w:val="6"/>
        </w:numPr>
        <w:rPr>
          <w:sz w:val="26"/>
          <w:szCs w:val="26"/>
        </w:rPr>
      </w:pPr>
      <w:r>
        <w:rPr>
          <w:sz w:val="24"/>
          <w:szCs w:val="24"/>
        </w:rPr>
        <w:t>The Supplier shall carry out an annual test of the emergency transition plan with respect to ensuring that all software and data is available to temporarily resume service.</w:t>
      </w:r>
      <w:r>
        <w:rPr>
          <w:sz w:val="24"/>
          <w:szCs w:val="24"/>
        </w:rPr>
        <w:br/>
      </w:r>
    </w:p>
    <w:p w:rsidR="00FF0DAA" w:rsidRDefault="0029045F">
      <w:pPr>
        <w:numPr>
          <w:ilvl w:val="2"/>
          <w:numId w:val="6"/>
        </w:numPr>
      </w:pPr>
      <w:r>
        <w:rPr>
          <w:sz w:val="24"/>
          <w:szCs w:val="24"/>
        </w:rPr>
        <w:t>An</w:t>
      </w:r>
      <w:r>
        <w:rPr>
          <w:sz w:val="24"/>
          <w:szCs w:val="24"/>
        </w:rPr>
        <w:t xml:space="preserve">y transition plan shall follow the principles as outlined in </w:t>
      </w:r>
      <w:hyperlink r:id="rId66">
        <w:r>
          <w:rPr>
            <w:color w:val="1155CC"/>
            <w:sz w:val="24"/>
            <w:szCs w:val="24"/>
            <w:u w:val="single"/>
          </w:rPr>
          <w:t>ICANN transition process</w:t>
        </w:r>
      </w:hyperlink>
      <w:r>
        <w:rPr>
          <w:sz w:val="24"/>
          <w:szCs w:val="24"/>
        </w:rPr>
        <w:t>.</w:t>
      </w:r>
      <w:r>
        <w:rPr>
          <w:sz w:val="24"/>
          <w:szCs w:val="24"/>
        </w:rPr>
        <w:br/>
      </w:r>
    </w:p>
    <w:p w:rsidR="00FF0DAA" w:rsidRDefault="0029045F">
      <w:pPr>
        <w:pStyle w:val="Heading1"/>
        <w:numPr>
          <w:ilvl w:val="0"/>
          <w:numId w:val="6"/>
        </w:numPr>
      </w:pPr>
      <w:bookmarkStart w:id="56" w:name="_heading=h.111kx3o" w:colFirst="0" w:colLast="0"/>
      <w:bookmarkEnd w:id="56"/>
      <w:r>
        <w:t>Registrar channel</w:t>
      </w:r>
    </w:p>
    <w:p w:rsidR="00FF0DAA" w:rsidRDefault="0029045F">
      <w:pPr>
        <w:pStyle w:val="Heading2"/>
        <w:numPr>
          <w:ilvl w:val="1"/>
          <w:numId w:val="6"/>
        </w:numPr>
      </w:pPr>
      <w:bookmarkStart w:id="57" w:name="_heading=h.3l18frh" w:colFirst="0" w:colLast="0"/>
      <w:bookmarkEnd w:id="57"/>
      <w:r>
        <w:t>Governance of the Registrar channel</w:t>
      </w:r>
    </w:p>
    <w:p w:rsidR="00FF0DAA" w:rsidRDefault="0029045F">
      <w:pPr>
        <w:numPr>
          <w:ilvl w:val="2"/>
          <w:numId w:val="6"/>
        </w:numPr>
        <w:spacing w:before="200" w:after="200"/>
      </w:pPr>
      <w:r>
        <w:rPr>
          <w:sz w:val="24"/>
          <w:szCs w:val="24"/>
        </w:rPr>
        <w:t xml:space="preserve">The Supplier shall be </w:t>
      </w:r>
      <w:r>
        <w:rPr>
          <w:sz w:val="24"/>
          <w:szCs w:val="24"/>
        </w:rPr>
        <w:t xml:space="preserve">responsible for the management of Registrars and Registrants through the mechanisms described at the following link: </w:t>
      </w:r>
    </w:p>
    <w:p w:rsidR="00FF0DAA" w:rsidRDefault="0029045F">
      <w:pPr>
        <w:numPr>
          <w:ilvl w:val="3"/>
          <w:numId w:val="6"/>
        </w:numPr>
        <w:spacing w:before="200" w:after="200"/>
      </w:pPr>
      <w:hyperlink r:id="rId67">
        <w:proofErr w:type="gramStart"/>
        <w:r>
          <w:rPr>
            <w:color w:val="1155CC"/>
            <w:sz w:val="24"/>
            <w:szCs w:val="24"/>
            <w:u w:val="single"/>
          </w:rPr>
          <w:t>How .</w:t>
        </w:r>
        <w:proofErr w:type="gramEnd"/>
        <w:r>
          <w:rPr>
            <w:color w:val="1155CC"/>
            <w:sz w:val="24"/>
            <w:szCs w:val="24"/>
            <w:u w:val="single"/>
          </w:rPr>
          <w:t>gov.uk domains are protected</w:t>
        </w:r>
      </w:hyperlink>
      <w:r>
        <w:rPr>
          <w:sz w:val="24"/>
          <w:szCs w:val="24"/>
        </w:rPr>
        <w:t xml:space="preserve">. </w:t>
      </w:r>
    </w:p>
    <w:p w:rsidR="00FF0DAA" w:rsidRDefault="0029045F">
      <w:pPr>
        <w:numPr>
          <w:ilvl w:val="2"/>
          <w:numId w:val="6"/>
        </w:numPr>
      </w:pPr>
      <w:r>
        <w:rPr>
          <w:sz w:val="24"/>
          <w:szCs w:val="24"/>
        </w:rPr>
        <w:t>The Supplier shall be r</w:t>
      </w:r>
      <w:r>
        <w:rPr>
          <w:sz w:val="24"/>
          <w:szCs w:val="24"/>
        </w:rPr>
        <w:t xml:space="preserve">esponsible for the monitoring and support of .gov.uk Registrars to make sure that they continue to meet the </w:t>
      </w:r>
      <w:hyperlink r:id="rId68">
        <w:r>
          <w:rPr>
            <w:color w:val="1155CC"/>
            <w:sz w:val="24"/>
            <w:szCs w:val="24"/>
            <w:u w:val="single"/>
          </w:rPr>
          <w:t>Criteria to be a .gov.uk Approved Registrar</w:t>
        </w:r>
      </w:hyperlink>
      <w:r>
        <w:rPr>
          <w:sz w:val="24"/>
          <w:szCs w:val="24"/>
        </w:rPr>
        <w:t>.</w:t>
      </w:r>
    </w:p>
    <w:p w:rsidR="00FF0DAA" w:rsidRDefault="00FF0DAA">
      <w:pPr>
        <w:ind w:left="1712"/>
        <w:rPr>
          <w:sz w:val="24"/>
          <w:szCs w:val="24"/>
        </w:rPr>
      </w:pPr>
    </w:p>
    <w:p w:rsidR="00FF0DAA" w:rsidRDefault="0029045F">
      <w:pPr>
        <w:numPr>
          <w:ilvl w:val="2"/>
          <w:numId w:val="6"/>
        </w:numPr>
      </w:pPr>
      <w:r>
        <w:rPr>
          <w:sz w:val="24"/>
          <w:szCs w:val="24"/>
        </w:rPr>
        <w:t xml:space="preserve">The Supplier </w:t>
      </w:r>
      <w:r>
        <w:rPr>
          <w:sz w:val="24"/>
          <w:szCs w:val="24"/>
        </w:rPr>
        <w:t xml:space="preserve">shall be responsible for ensuring Registrars ensure that Registrants meet the </w:t>
      </w:r>
      <w:r>
        <w:rPr>
          <w:b/>
          <w:sz w:val="24"/>
          <w:szCs w:val="24"/>
        </w:rPr>
        <w:t>domain name Registration and Management Rules</w:t>
      </w:r>
      <w:r>
        <w:rPr>
          <w:sz w:val="24"/>
          <w:szCs w:val="24"/>
        </w:rPr>
        <w:t xml:space="preserve"> found here: </w:t>
      </w:r>
      <w:r>
        <w:rPr>
          <w:sz w:val="24"/>
          <w:szCs w:val="24"/>
        </w:rPr>
        <w:br/>
      </w:r>
    </w:p>
    <w:p w:rsidR="00FF0DAA" w:rsidRDefault="0029045F">
      <w:pPr>
        <w:numPr>
          <w:ilvl w:val="0"/>
          <w:numId w:val="2"/>
        </w:numPr>
      </w:pPr>
      <w:hyperlink r:id="rId69" w:anchor="content">
        <w:r>
          <w:rPr>
            <w:color w:val="1155CC"/>
            <w:sz w:val="24"/>
            <w:szCs w:val="24"/>
            <w:u w:val="single"/>
          </w:rPr>
          <w:t xml:space="preserve">Get permission to apply for </w:t>
        </w:r>
        <w:proofErr w:type="gramStart"/>
        <w:r>
          <w:rPr>
            <w:color w:val="1155CC"/>
            <w:sz w:val="24"/>
            <w:szCs w:val="24"/>
            <w:u w:val="single"/>
          </w:rPr>
          <w:t>a .</w:t>
        </w:r>
        <w:proofErr w:type="gramEnd"/>
        <w:r>
          <w:rPr>
            <w:color w:val="1155CC"/>
            <w:sz w:val="24"/>
            <w:szCs w:val="24"/>
            <w:u w:val="single"/>
          </w:rPr>
          <w:t>gov.uk domain name</w:t>
        </w:r>
      </w:hyperlink>
      <w:r>
        <w:rPr>
          <w:color w:val="1155CC"/>
          <w:sz w:val="24"/>
          <w:szCs w:val="24"/>
          <w:u w:val="single"/>
        </w:rPr>
        <w:t xml:space="preserve"> </w:t>
      </w:r>
    </w:p>
    <w:p w:rsidR="00FF0DAA" w:rsidRDefault="0029045F">
      <w:pPr>
        <w:numPr>
          <w:ilvl w:val="0"/>
          <w:numId w:val="2"/>
        </w:numPr>
        <w:rPr>
          <w:color w:val="1155CC"/>
          <w:sz w:val="24"/>
          <w:szCs w:val="24"/>
        </w:rPr>
      </w:pPr>
      <w:hyperlink r:id="rId70">
        <w:r>
          <w:rPr>
            <w:color w:val="1155CC"/>
            <w:sz w:val="24"/>
            <w:szCs w:val="24"/>
            <w:u w:val="single"/>
          </w:rPr>
          <w:t xml:space="preserve">Identify a domain </w:t>
        </w:r>
        <w:r>
          <w:rPr>
            <w:color w:val="1155CC"/>
            <w:sz w:val="24"/>
            <w:szCs w:val="24"/>
            <w:u w:val="single"/>
          </w:rPr>
          <w:t>name administrator</w:t>
        </w:r>
      </w:hyperlink>
      <w:r>
        <w:rPr>
          <w:color w:val="1155CC"/>
          <w:sz w:val="24"/>
          <w:szCs w:val="24"/>
          <w:u w:val="single"/>
        </w:rPr>
        <w:t xml:space="preserve"> </w:t>
      </w:r>
    </w:p>
    <w:p w:rsidR="00FF0DAA" w:rsidRDefault="0029045F">
      <w:pPr>
        <w:numPr>
          <w:ilvl w:val="0"/>
          <w:numId w:val="2"/>
        </w:numPr>
        <w:rPr>
          <w:color w:val="1155CC"/>
          <w:sz w:val="24"/>
          <w:szCs w:val="24"/>
        </w:rPr>
      </w:pPr>
      <w:hyperlink r:id="rId71">
        <w:r>
          <w:rPr>
            <w:color w:val="1155CC"/>
            <w:sz w:val="24"/>
            <w:szCs w:val="24"/>
            <w:u w:val="single"/>
          </w:rPr>
          <w:t xml:space="preserve">Choose an </w:t>
        </w:r>
        <w:proofErr w:type="gramStart"/>
        <w:r>
          <w:rPr>
            <w:color w:val="1155CC"/>
            <w:sz w:val="24"/>
            <w:szCs w:val="24"/>
            <w:u w:val="single"/>
          </w:rPr>
          <w:t>appropriate .</w:t>
        </w:r>
        <w:proofErr w:type="gramEnd"/>
        <w:r>
          <w:rPr>
            <w:color w:val="1155CC"/>
            <w:sz w:val="24"/>
            <w:szCs w:val="24"/>
            <w:u w:val="single"/>
          </w:rPr>
          <w:t>gov.uk domain name</w:t>
        </w:r>
      </w:hyperlink>
      <w:r>
        <w:rPr>
          <w:color w:val="1155CC"/>
          <w:sz w:val="24"/>
          <w:szCs w:val="24"/>
          <w:u w:val="single"/>
        </w:rPr>
        <w:t xml:space="preserve"> </w:t>
      </w:r>
    </w:p>
    <w:p w:rsidR="00FF0DAA" w:rsidRDefault="0029045F">
      <w:pPr>
        <w:numPr>
          <w:ilvl w:val="0"/>
          <w:numId w:val="2"/>
        </w:numPr>
      </w:pPr>
      <w:hyperlink r:id="rId72">
        <w:r>
          <w:rPr>
            <w:color w:val="1155CC"/>
            <w:sz w:val="24"/>
            <w:szCs w:val="24"/>
            <w:u w:val="single"/>
          </w:rPr>
          <w:t xml:space="preserve">Get started with </w:t>
        </w:r>
        <w:proofErr w:type="gramStart"/>
        <w:r>
          <w:rPr>
            <w:color w:val="1155CC"/>
            <w:sz w:val="24"/>
            <w:szCs w:val="24"/>
            <w:u w:val="single"/>
          </w:rPr>
          <w:t>your .</w:t>
        </w:r>
        <w:proofErr w:type="gramEnd"/>
        <w:r>
          <w:rPr>
            <w:color w:val="1155CC"/>
            <w:sz w:val="24"/>
            <w:szCs w:val="24"/>
            <w:u w:val="single"/>
          </w:rPr>
          <w:t>gov.uk domain name</w:t>
        </w:r>
      </w:hyperlink>
    </w:p>
    <w:p w:rsidR="00FF0DAA" w:rsidRDefault="0029045F">
      <w:pPr>
        <w:numPr>
          <w:ilvl w:val="0"/>
          <w:numId w:val="2"/>
        </w:numPr>
      </w:pPr>
      <w:hyperlink r:id="rId73">
        <w:r>
          <w:rPr>
            <w:color w:val="1155CC"/>
            <w:sz w:val="24"/>
            <w:szCs w:val="24"/>
            <w:u w:val="single"/>
          </w:rPr>
          <w:t xml:space="preserve">How you are accountable for protecting </w:t>
        </w:r>
        <w:proofErr w:type="gramStart"/>
        <w:r>
          <w:rPr>
            <w:color w:val="1155CC"/>
            <w:sz w:val="24"/>
            <w:szCs w:val="24"/>
            <w:u w:val="single"/>
          </w:rPr>
          <w:t>your .</w:t>
        </w:r>
        <w:proofErr w:type="gramEnd"/>
        <w:r>
          <w:rPr>
            <w:color w:val="1155CC"/>
            <w:sz w:val="24"/>
            <w:szCs w:val="24"/>
            <w:u w:val="single"/>
          </w:rPr>
          <w:t>gov.uk domain</w:t>
        </w:r>
      </w:hyperlink>
    </w:p>
    <w:p w:rsidR="00FF0DAA" w:rsidRDefault="0029045F">
      <w:pPr>
        <w:numPr>
          <w:ilvl w:val="0"/>
          <w:numId w:val="2"/>
        </w:numPr>
      </w:pPr>
      <w:hyperlink r:id="rId74">
        <w:r>
          <w:rPr>
            <w:color w:val="1155CC"/>
            <w:sz w:val="24"/>
            <w:szCs w:val="24"/>
            <w:u w:val="single"/>
          </w:rPr>
          <w:t xml:space="preserve">Creating and </w:t>
        </w:r>
        <w:proofErr w:type="gramStart"/>
        <w:r>
          <w:rPr>
            <w:color w:val="1155CC"/>
            <w:sz w:val="24"/>
            <w:szCs w:val="24"/>
            <w:u w:val="single"/>
          </w:rPr>
          <w:t>managing .</w:t>
        </w:r>
        <w:proofErr w:type="gramEnd"/>
        <w:r>
          <w:rPr>
            <w:color w:val="1155CC"/>
            <w:sz w:val="24"/>
            <w:szCs w:val="24"/>
            <w:u w:val="single"/>
          </w:rPr>
          <w:t>gov.uk subdomains</w:t>
        </w:r>
      </w:hyperlink>
      <w:r>
        <w:rPr>
          <w:color w:val="1155CC"/>
          <w:sz w:val="24"/>
          <w:szCs w:val="24"/>
          <w:u w:val="single"/>
        </w:rPr>
        <w:t>.</w:t>
      </w:r>
    </w:p>
    <w:p w:rsidR="00FF0DAA" w:rsidRDefault="0029045F">
      <w:pPr>
        <w:numPr>
          <w:ilvl w:val="0"/>
          <w:numId w:val="2"/>
        </w:numPr>
      </w:pPr>
      <w:hyperlink r:id="rId75">
        <w:r>
          <w:rPr>
            <w:color w:val="1155CC"/>
            <w:sz w:val="24"/>
            <w:szCs w:val="24"/>
            <w:u w:val="single"/>
          </w:rPr>
          <w:t>Keep your domain name secure</w:t>
        </w:r>
      </w:hyperlink>
    </w:p>
    <w:p w:rsidR="00FF0DAA" w:rsidRDefault="0029045F">
      <w:pPr>
        <w:numPr>
          <w:ilvl w:val="0"/>
          <w:numId w:val="2"/>
        </w:numPr>
      </w:pPr>
      <w:hyperlink r:id="rId76" w:anchor="renew-domains-on-time">
        <w:r>
          <w:rPr>
            <w:color w:val="1155CC"/>
            <w:sz w:val="24"/>
            <w:szCs w:val="24"/>
            <w:u w:val="single"/>
          </w:rPr>
          <w:t>Renew your domain name</w:t>
        </w:r>
      </w:hyperlink>
    </w:p>
    <w:p w:rsidR="00FF0DAA" w:rsidRDefault="0029045F">
      <w:pPr>
        <w:numPr>
          <w:ilvl w:val="0"/>
          <w:numId w:val="2"/>
        </w:numPr>
      </w:pPr>
      <w:hyperlink r:id="rId77">
        <w:r>
          <w:rPr>
            <w:color w:val="1155CC"/>
            <w:sz w:val="24"/>
            <w:szCs w:val="24"/>
            <w:u w:val="single"/>
          </w:rPr>
          <w:t xml:space="preserve">Modify or transfer your domain </w:t>
        </w:r>
        <w:r>
          <w:rPr>
            <w:color w:val="1155CC"/>
            <w:sz w:val="24"/>
            <w:szCs w:val="24"/>
            <w:u w:val="single"/>
          </w:rPr>
          <w:t>name</w:t>
        </w:r>
      </w:hyperlink>
    </w:p>
    <w:p w:rsidR="00FF0DAA" w:rsidRDefault="0029045F">
      <w:pPr>
        <w:numPr>
          <w:ilvl w:val="0"/>
          <w:numId w:val="2"/>
        </w:numPr>
      </w:pPr>
      <w:hyperlink r:id="rId78">
        <w:r>
          <w:rPr>
            <w:color w:val="1155CC"/>
            <w:sz w:val="24"/>
            <w:szCs w:val="24"/>
            <w:u w:val="single"/>
          </w:rPr>
          <w:t>Stop using your domain name</w:t>
        </w:r>
      </w:hyperlink>
    </w:p>
    <w:p w:rsidR="00FF0DAA" w:rsidRDefault="0029045F">
      <w:pPr>
        <w:numPr>
          <w:ilvl w:val="0"/>
          <w:numId w:val="2"/>
        </w:numPr>
      </w:pPr>
      <w:hyperlink r:id="rId79">
        <w:r>
          <w:rPr>
            <w:color w:val="1155CC"/>
            <w:sz w:val="24"/>
            <w:szCs w:val="24"/>
            <w:u w:val="single"/>
          </w:rPr>
          <w:t>What to do if your domain is compromised</w:t>
        </w:r>
      </w:hyperlink>
    </w:p>
    <w:p w:rsidR="00FF0DAA" w:rsidRDefault="0029045F">
      <w:pPr>
        <w:pStyle w:val="Heading2"/>
        <w:numPr>
          <w:ilvl w:val="1"/>
          <w:numId w:val="6"/>
        </w:numPr>
        <w:pBdr>
          <w:top w:val="nil"/>
          <w:left w:val="nil"/>
          <w:bottom w:val="nil"/>
          <w:right w:val="nil"/>
          <w:between w:val="nil"/>
        </w:pBdr>
      </w:pPr>
      <w:bookmarkStart w:id="58" w:name="_heading=h.206ipza" w:colFirst="0" w:colLast="0"/>
      <w:bookmarkEnd w:id="58"/>
      <w:r>
        <w:t>Contracting with Registrars, Registrants and sub-Registrants</w:t>
      </w:r>
    </w:p>
    <w:p w:rsidR="00FF0DAA" w:rsidRDefault="0029045F">
      <w:pPr>
        <w:numPr>
          <w:ilvl w:val="2"/>
          <w:numId w:val="6"/>
        </w:numPr>
        <w:spacing w:before="200" w:after="200"/>
      </w:pPr>
      <w:r>
        <w:rPr>
          <w:sz w:val="24"/>
          <w:szCs w:val="24"/>
        </w:rPr>
        <w:t xml:space="preserve">The Supplier shall have a Registry/Registrar agreement with each .gov.uk domain Registrar, which shall include the following: </w:t>
      </w:r>
      <w:hyperlink r:id="rId80">
        <w:r>
          <w:rPr>
            <w:color w:val="1155CC"/>
            <w:sz w:val="24"/>
            <w:szCs w:val="24"/>
            <w:u w:val="single"/>
          </w:rPr>
          <w:t>Additional terms for .gov.uk agreements</w:t>
        </w:r>
      </w:hyperlink>
      <w:r>
        <w:rPr>
          <w:sz w:val="24"/>
          <w:szCs w:val="24"/>
        </w:rPr>
        <w:t xml:space="preserve">. The </w:t>
      </w:r>
      <w:r>
        <w:rPr>
          <w:sz w:val="24"/>
          <w:szCs w:val="24"/>
        </w:rPr>
        <w:t>Supplier shall ensure that its Registry/Registrar agreement meets ICANN requirements. See response to question 4.12 in Call-Off Schedule 4 for further details to be discussed following the contract award.</w:t>
      </w:r>
    </w:p>
    <w:p w:rsidR="00FF0DAA" w:rsidRDefault="0029045F">
      <w:pPr>
        <w:numPr>
          <w:ilvl w:val="2"/>
          <w:numId w:val="6"/>
        </w:numPr>
        <w:spacing w:before="200" w:after="200"/>
      </w:pPr>
      <w:r>
        <w:rPr>
          <w:sz w:val="24"/>
          <w:szCs w:val="24"/>
        </w:rPr>
        <w:t xml:space="preserve">The Supplier shall procure that Registrars include </w:t>
      </w:r>
      <w:r>
        <w:rPr>
          <w:sz w:val="24"/>
          <w:szCs w:val="24"/>
        </w:rPr>
        <w:t xml:space="preserve">the </w:t>
      </w:r>
      <w:hyperlink r:id="rId81">
        <w:r>
          <w:rPr>
            <w:color w:val="1155CC"/>
            <w:sz w:val="24"/>
            <w:szCs w:val="24"/>
            <w:u w:val="single"/>
          </w:rPr>
          <w:t xml:space="preserve">Additional terms </w:t>
        </w:r>
        <w:proofErr w:type="gramStart"/>
        <w:r>
          <w:rPr>
            <w:color w:val="1155CC"/>
            <w:sz w:val="24"/>
            <w:szCs w:val="24"/>
            <w:u w:val="single"/>
          </w:rPr>
          <w:t>for .</w:t>
        </w:r>
        <w:proofErr w:type="gramEnd"/>
        <w:r>
          <w:rPr>
            <w:color w:val="1155CC"/>
            <w:sz w:val="24"/>
            <w:szCs w:val="24"/>
            <w:u w:val="single"/>
          </w:rPr>
          <w:t>gov.uk agreements</w:t>
        </w:r>
      </w:hyperlink>
      <w:r>
        <w:rPr>
          <w:sz w:val="24"/>
          <w:szCs w:val="24"/>
        </w:rPr>
        <w:t xml:space="preserve"> in their Registrant Agreements.  </w:t>
      </w:r>
    </w:p>
    <w:p w:rsidR="00FF0DAA" w:rsidRDefault="0029045F">
      <w:pPr>
        <w:numPr>
          <w:ilvl w:val="2"/>
          <w:numId w:val="6"/>
        </w:numPr>
        <w:spacing w:before="200" w:after="200"/>
      </w:pPr>
      <w:r>
        <w:rPr>
          <w:sz w:val="24"/>
          <w:szCs w:val="24"/>
        </w:rPr>
        <w:t xml:space="preserve">The Supplier shall procure that Registrars procure that Registrants include the </w:t>
      </w:r>
      <w:hyperlink r:id="rId82">
        <w:r>
          <w:rPr>
            <w:color w:val="1155CC"/>
            <w:sz w:val="24"/>
            <w:szCs w:val="24"/>
            <w:u w:val="single"/>
          </w:rPr>
          <w:t>Additional terms for .gov.uk agreements</w:t>
        </w:r>
      </w:hyperlink>
      <w:r>
        <w:rPr>
          <w:sz w:val="24"/>
          <w:szCs w:val="24"/>
        </w:rPr>
        <w:t xml:space="preserve"> in any Registrant Agreements that Registrants have with sub-Registrants. </w:t>
      </w:r>
    </w:p>
    <w:p w:rsidR="00FF0DAA" w:rsidRDefault="0029045F">
      <w:pPr>
        <w:numPr>
          <w:ilvl w:val="2"/>
          <w:numId w:val="6"/>
        </w:numPr>
        <w:spacing w:before="200" w:after="200"/>
        <w:rPr>
          <w:sz w:val="24"/>
          <w:szCs w:val="24"/>
        </w:rPr>
      </w:pPr>
      <w:r>
        <w:rPr>
          <w:sz w:val="24"/>
          <w:szCs w:val="24"/>
        </w:rPr>
        <w:t>The Supplier agrees that the Critical Domain Holder to be a Registrar,</w:t>
      </w:r>
      <w:r>
        <w:rPr>
          <w:sz w:val="24"/>
          <w:szCs w:val="24"/>
        </w:rPr>
        <w:t xml:space="preserve"> without the Critical Domain Holder signing a Registry/Registrar agreement.</w:t>
      </w:r>
    </w:p>
    <w:p w:rsidR="00FF0DAA" w:rsidRDefault="0029045F">
      <w:pPr>
        <w:numPr>
          <w:ilvl w:val="2"/>
          <w:numId w:val="6"/>
        </w:numPr>
        <w:spacing w:before="200" w:after="200"/>
        <w:rPr>
          <w:sz w:val="24"/>
          <w:szCs w:val="24"/>
        </w:rPr>
      </w:pPr>
      <w:r>
        <w:rPr>
          <w:sz w:val="24"/>
          <w:szCs w:val="24"/>
        </w:rPr>
        <w:t xml:space="preserve">The Supplier agrees that the Critical Domain Holder meets the </w:t>
      </w:r>
      <w:hyperlink r:id="rId83">
        <w:r>
          <w:rPr>
            <w:color w:val="1155CC"/>
            <w:sz w:val="24"/>
            <w:szCs w:val="24"/>
            <w:u w:val="single"/>
          </w:rPr>
          <w:t>Criteria to be a .gov.uk Appr</w:t>
        </w:r>
        <w:r>
          <w:rPr>
            <w:color w:val="1155CC"/>
            <w:sz w:val="24"/>
            <w:szCs w:val="24"/>
            <w:u w:val="single"/>
          </w:rPr>
          <w:t>oved Registrar</w:t>
        </w:r>
      </w:hyperlink>
      <w:r>
        <w:rPr>
          <w:sz w:val="24"/>
          <w:szCs w:val="24"/>
        </w:rPr>
        <w:t>, and is not subject to losing its status as a .gov.uk Approved Registrar.</w:t>
      </w:r>
    </w:p>
    <w:p w:rsidR="00FF0DAA" w:rsidRDefault="0029045F">
      <w:pPr>
        <w:pStyle w:val="Heading2"/>
        <w:numPr>
          <w:ilvl w:val="1"/>
          <w:numId w:val="6"/>
        </w:numPr>
        <w:pBdr>
          <w:top w:val="nil"/>
          <w:left w:val="nil"/>
          <w:bottom w:val="nil"/>
          <w:right w:val="nil"/>
          <w:between w:val="nil"/>
        </w:pBdr>
      </w:pPr>
      <w:bookmarkStart w:id="59" w:name="_heading=h.4k668n3" w:colFirst="0" w:colLast="0"/>
      <w:bookmarkEnd w:id="59"/>
      <w:r>
        <w:t>On-boarding Registrars</w:t>
      </w:r>
    </w:p>
    <w:p w:rsidR="00FF0DAA" w:rsidRDefault="0029045F">
      <w:pPr>
        <w:numPr>
          <w:ilvl w:val="2"/>
          <w:numId w:val="6"/>
        </w:numPr>
      </w:pPr>
      <w:r>
        <w:rPr>
          <w:sz w:val="24"/>
          <w:szCs w:val="24"/>
        </w:rPr>
        <w:t xml:space="preserve">The Supplier shall be responsible for onboarding all </w:t>
      </w:r>
      <w:proofErr w:type="gramStart"/>
      <w:r>
        <w:rPr>
          <w:sz w:val="24"/>
          <w:szCs w:val="24"/>
        </w:rPr>
        <w:t>prospective .</w:t>
      </w:r>
      <w:proofErr w:type="gramEnd"/>
      <w:r>
        <w:rPr>
          <w:sz w:val="24"/>
          <w:szCs w:val="24"/>
        </w:rPr>
        <w:t>gov.uk Approved Registrars by:</w:t>
      </w:r>
      <w:r>
        <w:rPr>
          <w:sz w:val="24"/>
          <w:szCs w:val="24"/>
        </w:rPr>
        <w:br/>
      </w:r>
    </w:p>
    <w:p w:rsidR="00FF0DAA" w:rsidRDefault="0029045F">
      <w:pPr>
        <w:numPr>
          <w:ilvl w:val="3"/>
          <w:numId w:val="6"/>
        </w:numPr>
      </w:pPr>
      <w:r>
        <w:rPr>
          <w:sz w:val="24"/>
          <w:szCs w:val="24"/>
        </w:rPr>
        <w:t>Running an open, fair and transparent process;</w:t>
      </w:r>
      <w:r>
        <w:rPr>
          <w:sz w:val="24"/>
          <w:szCs w:val="24"/>
        </w:rPr>
        <w:br/>
      </w:r>
    </w:p>
    <w:p w:rsidR="00FF0DAA" w:rsidRDefault="0029045F">
      <w:pPr>
        <w:numPr>
          <w:ilvl w:val="3"/>
          <w:numId w:val="6"/>
        </w:numPr>
      </w:pPr>
      <w:r>
        <w:rPr>
          <w:sz w:val="24"/>
          <w:szCs w:val="24"/>
        </w:rPr>
        <w:lastRenderedPageBreak/>
        <w:t xml:space="preserve">Checking the Registrar meets all of the requirements set out in the </w:t>
      </w:r>
      <w:hyperlink r:id="rId84">
        <w:r>
          <w:rPr>
            <w:color w:val="1155CC"/>
            <w:sz w:val="24"/>
            <w:szCs w:val="24"/>
            <w:u w:val="single"/>
          </w:rPr>
          <w:t>Criteria to be a .gov.uk Approved Registrar</w:t>
        </w:r>
      </w:hyperlink>
      <w:r>
        <w:rPr>
          <w:sz w:val="24"/>
          <w:szCs w:val="24"/>
        </w:rPr>
        <w:t xml:space="preserve">; and </w:t>
      </w:r>
      <w:r>
        <w:rPr>
          <w:sz w:val="24"/>
          <w:szCs w:val="24"/>
        </w:rPr>
        <w:br/>
      </w:r>
    </w:p>
    <w:p w:rsidR="00FF0DAA" w:rsidRDefault="0029045F">
      <w:pPr>
        <w:numPr>
          <w:ilvl w:val="3"/>
          <w:numId w:val="6"/>
        </w:numPr>
        <w:spacing w:after="200"/>
      </w:pPr>
      <w:r>
        <w:rPr>
          <w:sz w:val="24"/>
          <w:szCs w:val="24"/>
        </w:rPr>
        <w:t>Providing necessary guidance to Registrars on how to operate the Supplier’s services.</w:t>
      </w:r>
      <w:r>
        <w:rPr>
          <w:sz w:val="24"/>
          <w:szCs w:val="24"/>
        </w:rPr>
        <w:br/>
      </w:r>
    </w:p>
    <w:p w:rsidR="00FF0DAA" w:rsidRDefault="0029045F">
      <w:pPr>
        <w:pStyle w:val="Heading2"/>
        <w:numPr>
          <w:ilvl w:val="1"/>
          <w:numId w:val="6"/>
        </w:numPr>
        <w:pBdr>
          <w:top w:val="nil"/>
          <w:left w:val="nil"/>
          <w:bottom w:val="nil"/>
          <w:right w:val="nil"/>
          <w:between w:val="nil"/>
        </w:pBdr>
      </w:pPr>
      <w:bookmarkStart w:id="60" w:name="_heading=h.2zbgiuw" w:colFirst="0" w:colLast="0"/>
      <w:bookmarkEnd w:id="60"/>
      <w:r>
        <w:t>Monitoring Registrar and Registrant compliance</w:t>
      </w:r>
    </w:p>
    <w:p w:rsidR="00FF0DAA" w:rsidRDefault="0029045F">
      <w:pPr>
        <w:numPr>
          <w:ilvl w:val="2"/>
          <w:numId w:val="6"/>
        </w:numPr>
      </w:pPr>
      <w:r>
        <w:rPr>
          <w:sz w:val="24"/>
          <w:szCs w:val="24"/>
        </w:rPr>
        <w:t xml:space="preserve">The Supplier shall provide a mechanism to ensure that Registrars comply with Registry/Registrar agreements, including the </w:t>
      </w:r>
      <w:hyperlink r:id="rId85">
        <w:r>
          <w:rPr>
            <w:color w:val="1155CC"/>
            <w:sz w:val="24"/>
            <w:szCs w:val="24"/>
            <w:u w:val="single"/>
          </w:rPr>
          <w:t>Criteria to be a .gov.uk Approved Registrar</w:t>
        </w:r>
      </w:hyperlink>
      <w:r>
        <w:rPr>
          <w:sz w:val="24"/>
          <w:szCs w:val="24"/>
        </w:rPr>
        <w:t>. This mechanism shall include capturing evidence, including from Registrants, of any incidents where Registrars have not me</w:t>
      </w:r>
      <w:r>
        <w:rPr>
          <w:sz w:val="24"/>
          <w:szCs w:val="24"/>
        </w:rPr>
        <w:t>t the criteria, and agreeing improvement plans with Registrars.</w:t>
      </w:r>
    </w:p>
    <w:p w:rsidR="00FF0DAA" w:rsidRDefault="00FF0DAA">
      <w:pPr>
        <w:spacing w:after="200"/>
        <w:rPr>
          <w:sz w:val="24"/>
          <w:szCs w:val="24"/>
        </w:rPr>
      </w:pPr>
    </w:p>
    <w:p w:rsidR="00FF0DAA" w:rsidRDefault="0029045F">
      <w:pPr>
        <w:numPr>
          <w:ilvl w:val="2"/>
          <w:numId w:val="6"/>
        </w:numPr>
      </w:pPr>
      <w:r>
        <w:rPr>
          <w:sz w:val="24"/>
          <w:szCs w:val="24"/>
        </w:rPr>
        <w:t xml:space="preserve">The Supplier shall allow the Critical Domain Holder to review a Registrar’s or Registrant’s compliance evidence upon request </w:t>
      </w:r>
      <w:proofErr w:type="gramStart"/>
      <w:r>
        <w:rPr>
          <w:sz w:val="24"/>
          <w:szCs w:val="24"/>
        </w:rPr>
        <w:t>by  the</w:t>
      </w:r>
      <w:proofErr w:type="gramEnd"/>
      <w:r>
        <w:rPr>
          <w:sz w:val="24"/>
          <w:szCs w:val="24"/>
        </w:rPr>
        <w:t xml:space="preserve"> Critical Domain Holder.</w:t>
      </w:r>
    </w:p>
    <w:p w:rsidR="00FF0DAA" w:rsidRDefault="00FF0DAA">
      <w:pPr>
        <w:rPr>
          <w:sz w:val="24"/>
          <w:szCs w:val="24"/>
        </w:rPr>
      </w:pPr>
    </w:p>
    <w:p w:rsidR="00FF0DAA" w:rsidRDefault="0029045F">
      <w:pPr>
        <w:pStyle w:val="Heading2"/>
        <w:numPr>
          <w:ilvl w:val="1"/>
          <w:numId w:val="6"/>
        </w:numPr>
        <w:pBdr>
          <w:top w:val="nil"/>
          <w:left w:val="nil"/>
          <w:bottom w:val="nil"/>
          <w:right w:val="nil"/>
          <w:between w:val="nil"/>
        </w:pBdr>
      </w:pPr>
      <w:bookmarkStart w:id="61" w:name="_heading=h.1egqt2p" w:colFirst="0" w:colLast="0"/>
      <w:bookmarkEnd w:id="61"/>
      <w:r>
        <w:t>Handling Registrar non-compliance</w:t>
      </w:r>
    </w:p>
    <w:p w:rsidR="00FF0DAA" w:rsidRDefault="0029045F">
      <w:pPr>
        <w:numPr>
          <w:ilvl w:val="2"/>
          <w:numId w:val="6"/>
        </w:numPr>
      </w:pPr>
      <w:r>
        <w:rPr>
          <w:sz w:val="24"/>
          <w:szCs w:val="24"/>
        </w:rPr>
        <w:t xml:space="preserve">The Supplier shall escalate to the Critical Domain Holder any instances where a Registrar is, or in the reasonable opinion of the Supplier or appears to be, persistently or seriously failing to comply with its Registry/Registrar agreement, including the </w:t>
      </w:r>
      <w:hyperlink r:id="rId86">
        <w:r>
          <w:rPr>
            <w:color w:val="1155CC"/>
            <w:sz w:val="24"/>
            <w:szCs w:val="24"/>
            <w:u w:val="single"/>
          </w:rPr>
          <w:t>Criteria to be a .gov.uk Approved Registrar</w:t>
        </w:r>
      </w:hyperlink>
      <w:r>
        <w:rPr>
          <w:sz w:val="24"/>
          <w:szCs w:val="24"/>
        </w:rPr>
        <w:t>.</w:t>
      </w:r>
    </w:p>
    <w:p w:rsidR="00FF0DAA" w:rsidRDefault="00FF0DAA">
      <w:pPr>
        <w:ind w:left="1712"/>
        <w:rPr>
          <w:sz w:val="24"/>
          <w:szCs w:val="24"/>
        </w:rPr>
      </w:pPr>
    </w:p>
    <w:p w:rsidR="00FF0DAA" w:rsidRDefault="0029045F">
      <w:pPr>
        <w:numPr>
          <w:ilvl w:val="2"/>
          <w:numId w:val="6"/>
        </w:numPr>
        <w:rPr>
          <w:sz w:val="24"/>
          <w:szCs w:val="24"/>
        </w:rPr>
      </w:pPr>
      <w:r>
        <w:rPr>
          <w:sz w:val="24"/>
          <w:szCs w:val="24"/>
        </w:rPr>
        <w:t xml:space="preserve">The Supplier shall accept the Critical Domain Holder’s decision as final in respect of whether a Registrar is meeting the </w:t>
      </w:r>
      <w:hyperlink r:id="rId87">
        <w:r>
          <w:rPr>
            <w:color w:val="1155CC"/>
            <w:sz w:val="24"/>
            <w:szCs w:val="24"/>
            <w:u w:val="single"/>
          </w:rPr>
          <w:t>Criteria to be a .gov.uk Approved Registrar</w:t>
        </w:r>
      </w:hyperlink>
      <w:r>
        <w:rPr>
          <w:sz w:val="24"/>
          <w:szCs w:val="24"/>
        </w:rPr>
        <w:t>.</w:t>
      </w:r>
    </w:p>
    <w:p w:rsidR="00FF0DAA" w:rsidRDefault="00FF0DAA">
      <w:pPr>
        <w:ind w:left="1712"/>
        <w:rPr>
          <w:sz w:val="24"/>
          <w:szCs w:val="24"/>
        </w:rPr>
      </w:pPr>
    </w:p>
    <w:p w:rsidR="00FF0DAA" w:rsidRDefault="0029045F">
      <w:pPr>
        <w:numPr>
          <w:ilvl w:val="2"/>
          <w:numId w:val="6"/>
        </w:numPr>
      </w:pPr>
      <w:r>
        <w:rPr>
          <w:sz w:val="24"/>
          <w:szCs w:val="24"/>
        </w:rPr>
        <w:t xml:space="preserve">Should the Critical Domain Holder decide that a Registrar is not meeting the </w:t>
      </w:r>
      <w:hyperlink r:id="rId88">
        <w:r>
          <w:rPr>
            <w:color w:val="1155CC"/>
            <w:sz w:val="24"/>
            <w:szCs w:val="24"/>
            <w:u w:val="single"/>
          </w:rPr>
          <w:t>Criteria to be a .gov.uk Approved Registrar</w:t>
        </w:r>
      </w:hyperlink>
      <w:r>
        <w:rPr>
          <w:sz w:val="24"/>
          <w:szCs w:val="24"/>
        </w:rPr>
        <w:t xml:space="preserve">, the Supplier shall, if necessary be the </w:t>
      </w:r>
      <w:hyperlink w:anchor="_heading=h.3o7alnk">
        <w:r>
          <w:rPr>
            <w:color w:val="1155CC"/>
            <w:sz w:val="24"/>
            <w:szCs w:val="24"/>
            <w:u w:val="single"/>
          </w:rPr>
          <w:t>Registrar of last resort</w:t>
        </w:r>
      </w:hyperlink>
      <w:r>
        <w:rPr>
          <w:sz w:val="24"/>
          <w:szCs w:val="24"/>
        </w:rPr>
        <w:t>.</w:t>
      </w:r>
    </w:p>
    <w:p w:rsidR="00FF0DAA" w:rsidRDefault="00FF0DAA">
      <w:pPr>
        <w:ind w:left="1712"/>
        <w:rPr>
          <w:sz w:val="24"/>
          <w:szCs w:val="24"/>
        </w:rPr>
      </w:pPr>
    </w:p>
    <w:p w:rsidR="00FF0DAA" w:rsidRDefault="0029045F">
      <w:pPr>
        <w:rPr>
          <w:sz w:val="24"/>
          <w:szCs w:val="24"/>
        </w:rPr>
      </w:pPr>
      <w:r>
        <w:rPr>
          <w:i/>
          <w:sz w:val="24"/>
          <w:szCs w:val="24"/>
        </w:rPr>
        <w:lastRenderedPageBreak/>
        <w:t>See also Call-Off Schedule 14 for relevant service level r</w:t>
      </w:r>
      <w:r>
        <w:rPr>
          <w:i/>
          <w:sz w:val="24"/>
          <w:szCs w:val="24"/>
        </w:rPr>
        <w:t>equirements</w:t>
      </w:r>
    </w:p>
    <w:p w:rsidR="00FF0DAA" w:rsidRDefault="00FF0DAA">
      <w:pPr>
        <w:rPr>
          <w:sz w:val="24"/>
          <w:szCs w:val="24"/>
        </w:rPr>
      </w:pPr>
    </w:p>
    <w:p w:rsidR="00FF0DAA" w:rsidRDefault="0029045F">
      <w:pPr>
        <w:pStyle w:val="Heading1"/>
        <w:numPr>
          <w:ilvl w:val="0"/>
          <w:numId w:val="6"/>
        </w:numPr>
      </w:pPr>
      <w:bookmarkStart w:id="62" w:name="_heading=h.3ygebqi" w:colFirst="0" w:colLast="0"/>
      <w:bookmarkEnd w:id="62"/>
      <w:r>
        <w:t xml:space="preserve">Migrating from the incumbent supplier </w:t>
      </w:r>
    </w:p>
    <w:p w:rsidR="00FF0DAA" w:rsidRDefault="0029045F">
      <w:pPr>
        <w:numPr>
          <w:ilvl w:val="1"/>
          <w:numId w:val="6"/>
        </w:numPr>
        <w:rPr>
          <w:sz w:val="24"/>
          <w:szCs w:val="24"/>
        </w:rPr>
      </w:pPr>
      <w:r>
        <w:rPr>
          <w:sz w:val="24"/>
          <w:szCs w:val="24"/>
        </w:rPr>
        <w:t>The Supplier shall aim for a target Technical Switchover date of 31 March 2024. The deadline for Technical Switchover must be no later than 30 May 2024</w:t>
      </w:r>
    </w:p>
    <w:p w:rsidR="00FF0DAA" w:rsidRDefault="00FF0DAA">
      <w:pPr>
        <w:rPr>
          <w:sz w:val="24"/>
          <w:szCs w:val="24"/>
        </w:rPr>
      </w:pPr>
    </w:p>
    <w:p w:rsidR="00FF0DAA" w:rsidRDefault="0029045F">
      <w:pPr>
        <w:numPr>
          <w:ilvl w:val="1"/>
          <w:numId w:val="6"/>
        </w:numPr>
        <w:rPr>
          <w:sz w:val="24"/>
          <w:szCs w:val="24"/>
        </w:rPr>
      </w:pPr>
      <w:r>
        <w:rPr>
          <w:sz w:val="24"/>
          <w:szCs w:val="24"/>
        </w:rPr>
        <w:t>See Call-Off Schedule13, Implementation Plan and Te</w:t>
      </w:r>
      <w:r>
        <w:rPr>
          <w:sz w:val="24"/>
          <w:szCs w:val="24"/>
        </w:rPr>
        <w:t>sting.</w:t>
      </w:r>
    </w:p>
    <w:p w:rsidR="00FF0DAA" w:rsidRDefault="00FF0DAA">
      <w:pPr>
        <w:ind w:left="1145"/>
        <w:rPr>
          <w:sz w:val="24"/>
          <w:szCs w:val="24"/>
        </w:rPr>
      </w:pPr>
    </w:p>
    <w:p w:rsidR="00FF0DAA" w:rsidRDefault="00FF0DAA">
      <w:pPr>
        <w:ind w:left="1145"/>
        <w:rPr>
          <w:sz w:val="24"/>
          <w:szCs w:val="24"/>
        </w:rPr>
      </w:pPr>
    </w:p>
    <w:p w:rsidR="00FF0DAA" w:rsidRDefault="0029045F">
      <w:pPr>
        <w:pStyle w:val="Heading1"/>
        <w:numPr>
          <w:ilvl w:val="0"/>
          <w:numId w:val="6"/>
        </w:numPr>
      </w:pPr>
      <w:bookmarkStart w:id="63" w:name="_heading=h.2dlolyb" w:colFirst="0" w:colLast="0"/>
      <w:bookmarkEnd w:id="63"/>
      <w:r>
        <w:t xml:space="preserve">Social value </w:t>
      </w:r>
    </w:p>
    <w:p w:rsidR="00FF0DAA" w:rsidRDefault="0029045F">
      <w:pPr>
        <w:numPr>
          <w:ilvl w:val="1"/>
          <w:numId w:val="6"/>
        </w:numPr>
        <w:rPr>
          <w:sz w:val="24"/>
          <w:szCs w:val="24"/>
        </w:rPr>
      </w:pPr>
      <w:r>
        <w:rPr>
          <w:sz w:val="24"/>
          <w:szCs w:val="24"/>
        </w:rPr>
        <w:t>The Supplier shall, in agreeing to this Call off contract, actively seek to develop their company policies and management culture to promote opportunities in an inclusive way and assist the UK Government in the Levelling up agenda. T</w:t>
      </w:r>
      <w:r>
        <w:rPr>
          <w:sz w:val="24"/>
          <w:szCs w:val="24"/>
        </w:rPr>
        <w:t>he activities included but not limited to are as follows:</w:t>
      </w:r>
    </w:p>
    <w:p w:rsidR="00FF0DAA" w:rsidRDefault="00FF0DAA">
      <w:pPr>
        <w:ind w:left="1145"/>
        <w:rPr>
          <w:sz w:val="24"/>
          <w:szCs w:val="24"/>
        </w:rPr>
      </w:pPr>
    </w:p>
    <w:p w:rsidR="00FF0DAA" w:rsidRDefault="0029045F">
      <w:pPr>
        <w:numPr>
          <w:ilvl w:val="2"/>
          <w:numId w:val="6"/>
        </w:numPr>
      </w:pPr>
      <w:r>
        <w:rPr>
          <w:sz w:val="24"/>
          <w:szCs w:val="24"/>
        </w:rPr>
        <w:t>Promotion of awareness of careers and recruitment opportunities to under-represented groups relating to known skills shortages or in high growth sectors relating to the subject matter of the contra</w:t>
      </w:r>
      <w:r>
        <w:rPr>
          <w:sz w:val="24"/>
          <w:szCs w:val="24"/>
        </w:rPr>
        <w:t>ct.</w:t>
      </w:r>
    </w:p>
    <w:p w:rsidR="00FF0DAA" w:rsidRDefault="0029045F">
      <w:pPr>
        <w:pStyle w:val="Heading1"/>
        <w:numPr>
          <w:ilvl w:val="0"/>
          <w:numId w:val="6"/>
        </w:numPr>
      </w:pPr>
      <w:bookmarkStart w:id="64" w:name="_heading=h.sqyw64" w:colFirst="0" w:colLast="0"/>
      <w:bookmarkEnd w:id="64"/>
      <w:r>
        <w:t xml:space="preserve"> Exit plan</w:t>
      </w:r>
    </w:p>
    <w:p w:rsidR="00FF0DAA" w:rsidRDefault="0029045F">
      <w:pPr>
        <w:numPr>
          <w:ilvl w:val="1"/>
          <w:numId w:val="6"/>
        </w:numPr>
        <w:rPr>
          <w:sz w:val="24"/>
          <w:szCs w:val="24"/>
        </w:rPr>
      </w:pPr>
      <w:r>
        <w:rPr>
          <w:sz w:val="24"/>
          <w:szCs w:val="24"/>
        </w:rPr>
        <w:t>The supplier shall provide an exit plan, as described in Schedule 10 to this contract, within three (3) Months of the Start Date for the Buyer to review and approve.</w:t>
      </w:r>
    </w:p>
    <w:p w:rsidR="00FF0DAA" w:rsidRDefault="0029045F">
      <w:pPr>
        <w:pStyle w:val="Heading1"/>
        <w:keepNext w:val="0"/>
        <w:keepLines w:val="0"/>
        <w:numPr>
          <w:ilvl w:val="0"/>
          <w:numId w:val="6"/>
        </w:numPr>
        <w:spacing w:after="80"/>
      </w:pPr>
      <w:bookmarkStart w:id="65" w:name="_heading=h.3cqmetx" w:colFirst="0" w:colLast="0"/>
      <w:bookmarkEnd w:id="65"/>
      <w:r>
        <w:t>Volumes</w:t>
      </w:r>
    </w:p>
    <w:p w:rsidR="00FF0DAA" w:rsidRDefault="0029045F">
      <w:pPr>
        <w:numPr>
          <w:ilvl w:val="1"/>
          <w:numId w:val="6"/>
        </w:numPr>
        <w:rPr>
          <w:sz w:val="24"/>
          <w:szCs w:val="24"/>
        </w:rPr>
      </w:pPr>
      <w:r>
        <w:rPr>
          <w:sz w:val="24"/>
          <w:szCs w:val="24"/>
        </w:rPr>
        <w:lastRenderedPageBreak/>
        <w:t>The Buyer is not committing to any volumes, and the Supplier agrees</w:t>
      </w:r>
      <w:r>
        <w:rPr>
          <w:sz w:val="24"/>
          <w:szCs w:val="24"/>
        </w:rPr>
        <w:t xml:space="preserve"> and acknowledges that it has not been given any rights of exclusivity or any volume guarantees whatsoever in relation to the volume of services provided under the contract.</w:t>
      </w:r>
    </w:p>
    <w:p w:rsidR="00FF0DAA" w:rsidRDefault="0029045F">
      <w:pPr>
        <w:pStyle w:val="Heading1"/>
        <w:keepNext w:val="0"/>
        <w:keepLines w:val="0"/>
        <w:numPr>
          <w:ilvl w:val="0"/>
          <w:numId w:val="6"/>
        </w:numPr>
        <w:spacing w:after="80"/>
      </w:pPr>
      <w:bookmarkStart w:id="66" w:name="_heading=h.1rvwp1q" w:colFirst="0" w:colLast="0"/>
      <w:bookmarkEnd w:id="66"/>
      <w:r>
        <w:t>Contract Variations</w:t>
      </w:r>
    </w:p>
    <w:p w:rsidR="00FF0DAA" w:rsidRDefault="00FF0DAA">
      <w:pPr>
        <w:ind w:left="1145"/>
        <w:rPr>
          <w:sz w:val="24"/>
          <w:szCs w:val="24"/>
        </w:rPr>
      </w:pPr>
    </w:p>
    <w:p w:rsidR="00FF0DAA" w:rsidRDefault="0029045F">
      <w:pPr>
        <w:numPr>
          <w:ilvl w:val="1"/>
          <w:numId w:val="6"/>
        </w:numPr>
        <w:rPr>
          <w:sz w:val="24"/>
          <w:szCs w:val="24"/>
        </w:rPr>
      </w:pPr>
      <w:r>
        <w:rPr>
          <w:sz w:val="24"/>
          <w:szCs w:val="24"/>
        </w:rPr>
        <w:t>The Supplier shall provide a rate card to be used for contrac</w:t>
      </w:r>
      <w:r>
        <w:rPr>
          <w:sz w:val="24"/>
          <w:szCs w:val="24"/>
        </w:rPr>
        <w:t>t Variations.</w:t>
      </w:r>
    </w:p>
    <w:p w:rsidR="00FF0DAA" w:rsidRDefault="00FF0DAA">
      <w:pPr>
        <w:ind w:left="1145"/>
        <w:rPr>
          <w:sz w:val="24"/>
          <w:szCs w:val="24"/>
        </w:rPr>
      </w:pPr>
    </w:p>
    <w:p w:rsidR="00FF0DAA" w:rsidRDefault="0029045F">
      <w:pPr>
        <w:numPr>
          <w:ilvl w:val="1"/>
          <w:numId w:val="6"/>
        </w:numPr>
        <w:rPr>
          <w:sz w:val="24"/>
          <w:szCs w:val="24"/>
        </w:rPr>
      </w:pPr>
      <w:r>
        <w:rPr>
          <w:sz w:val="24"/>
          <w:szCs w:val="24"/>
        </w:rPr>
        <w:t>With the implementation of this requirement it might be necessary to implement new solutions which at the present time cannot be qualified and quantified. In the event this occurs, The Supplier shall provide to the Buyer, free of charge, a p</w:t>
      </w:r>
      <w:r>
        <w:rPr>
          <w:sz w:val="24"/>
          <w:szCs w:val="24"/>
        </w:rPr>
        <w:t>roposal to deliver the potential new solution, including a breakdown of costs and timescales, for the buyer to decide. If approved the contract Variation process shall apply.</w:t>
      </w:r>
    </w:p>
    <w:p w:rsidR="00FF0DAA" w:rsidRDefault="00FF0DAA">
      <w:pPr>
        <w:ind w:left="1145"/>
        <w:rPr>
          <w:sz w:val="24"/>
          <w:szCs w:val="24"/>
        </w:rPr>
      </w:pPr>
    </w:p>
    <w:p w:rsidR="00FF0DAA" w:rsidRDefault="0029045F">
      <w:pPr>
        <w:numPr>
          <w:ilvl w:val="1"/>
          <w:numId w:val="6"/>
        </w:numPr>
        <w:rPr>
          <w:sz w:val="24"/>
          <w:szCs w:val="24"/>
        </w:rPr>
      </w:pPr>
      <w:r>
        <w:rPr>
          <w:sz w:val="24"/>
          <w:szCs w:val="24"/>
        </w:rPr>
        <w:t xml:space="preserve">Any agreed Variation will be in accordance with the parameters set by the original contract. </w:t>
      </w:r>
    </w:p>
    <w:p w:rsidR="00FF0DAA" w:rsidRDefault="0029045F">
      <w:pPr>
        <w:pStyle w:val="Heading1"/>
        <w:numPr>
          <w:ilvl w:val="0"/>
          <w:numId w:val="6"/>
        </w:numPr>
      </w:pPr>
      <w:bookmarkStart w:id="67" w:name="_heading=h.4bvk7pj" w:colFirst="0" w:colLast="0"/>
      <w:bookmarkEnd w:id="67"/>
      <w:r>
        <w:t>Out of Scope</w:t>
      </w:r>
      <w:r>
        <w:rPr>
          <w:sz w:val="24"/>
          <w:szCs w:val="24"/>
        </w:rPr>
        <w:t xml:space="preserve"> </w:t>
      </w:r>
    </w:p>
    <w:p w:rsidR="00FF0DAA" w:rsidRDefault="0029045F">
      <w:pPr>
        <w:numPr>
          <w:ilvl w:val="1"/>
          <w:numId w:val="6"/>
        </w:numPr>
        <w:rPr>
          <w:sz w:val="24"/>
          <w:szCs w:val="24"/>
        </w:rPr>
      </w:pPr>
      <w:r>
        <w:rPr>
          <w:sz w:val="24"/>
          <w:szCs w:val="24"/>
        </w:rPr>
        <w:t xml:space="preserve">Ad hoc consultancy. </w:t>
      </w:r>
    </w:p>
    <w:p w:rsidR="00FF0DAA" w:rsidRDefault="0029045F">
      <w:pPr>
        <w:pStyle w:val="Heading1"/>
        <w:numPr>
          <w:ilvl w:val="0"/>
          <w:numId w:val="6"/>
        </w:numPr>
      </w:pPr>
      <w:bookmarkStart w:id="68" w:name="_heading=h.2r0uhxc" w:colFirst="0" w:colLast="0"/>
      <w:bookmarkEnd w:id="68"/>
      <w:r>
        <w:t xml:space="preserve"> Payment and Invoicing</w:t>
      </w:r>
      <w:r>
        <w:rPr>
          <w:sz w:val="24"/>
          <w:szCs w:val="24"/>
        </w:rPr>
        <w:t xml:space="preserve"> </w:t>
      </w:r>
    </w:p>
    <w:p w:rsidR="00FF0DAA" w:rsidRDefault="0029045F">
      <w:pPr>
        <w:numPr>
          <w:ilvl w:val="1"/>
          <w:numId w:val="6"/>
        </w:numPr>
        <w:pBdr>
          <w:top w:val="nil"/>
          <w:left w:val="nil"/>
          <w:bottom w:val="nil"/>
          <w:right w:val="nil"/>
          <w:between w:val="nil"/>
        </w:pBdr>
        <w:rPr>
          <w:sz w:val="24"/>
          <w:szCs w:val="24"/>
        </w:rPr>
      </w:pPr>
      <w:r>
        <w:rPr>
          <w:sz w:val="24"/>
          <w:szCs w:val="24"/>
        </w:rPr>
        <w:t xml:space="preserve">The pricing of the contract shall remain fixed throughout its term. </w:t>
      </w:r>
      <w:r>
        <w:rPr>
          <w:sz w:val="24"/>
          <w:szCs w:val="24"/>
        </w:rPr>
        <w:br/>
      </w:r>
    </w:p>
    <w:p w:rsidR="00FF0DAA" w:rsidRDefault="0029045F">
      <w:pPr>
        <w:numPr>
          <w:ilvl w:val="1"/>
          <w:numId w:val="6"/>
        </w:numPr>
        <w:pBdr>
          <w:top w:val="nil"/>
          <w:left w:val="nil"/>
          <w:bottom w:val="nil"/>
          <w:right w:val="nil"/>
          <w:between w:val="nil"/>
        </w:pBdr>
        <w:rPr>
          <w:sz w:val="24"/>
          <w:szCs w:val="24"/>
        </w:rPr>
      </w:pPr>
      <w:r>
        <w:rPr>
          <w:sz w:val="24"/>
          <w:szCs w:val="24"/>
        </w:rPr>
        <w:t xml:space="preserve">The Supplier shall agree that payment can only be made following satisfactory delivery of pre-agreed certified products and deliverables. </w:t>
      </w:r>
    </w:p>
    <w:p w:rsidR="00FF0DAA" w:rsidRDefault="00FF0DAA">
      <w:pPr>
        <w:pBdr>
          <w:top w:val="nil"/>
          <w:left w:val="nil"/>
          <w:bottom w:val="nil"/>
          <w:right w:val="nil"/>
          <w:between w:val="nil"/>
        </w:pBdr>
        <w:ind w:left="1145"/>
        <w:rPr>
          <w:sz w:val="24"/>
          <w:szCs w:val="24"/>
        </w:rPr>
      </w:pPr>
    </w:p>
    <w:p w:rsidR="00FF0DAA" w:rsidRDefault="0029045F">
      <w:pPr>
        <w:numPr>
          <w:ilvl w:val="1"/>
          <w:numId w:val="6"/>
        </w:numPr>
        <w:pBdr>
          <w:top w:val="nil"/>
          <w:left w:val="nil"/>
          <w:bottom w:val="nil"/>
          <w:right w:val="nil"/>
          <w:between w:val="nil"/>
        </w:pBdr>
        <w:rPr>
          <w:sz w:val="24"/>
          <w:szCs w:val="24"/>
        </w:rPr>
      </w:pPr>
      <w:r>
        <w:rPr>
          <w:sz w:val="24"/>
          <w:szCs w:val="24"/>
        </w:rPr>
        <w:t>The Supplier shall agree that before payment can be considered, each invoice must include a detailed elemental break</w:t>
      </w:r>
      <w:r>
        <w:rPr>
          <w:sz w:val="24"/>
          <w:szCs w:val="24"/>
        </w:rPr>
        <w:t xml:space="preserve">down of work completed and the associated costs. </w:t>
      </w:r>
    </w:p>
    <w:p w:rsidR="00FF0DAA" w:rsidRDefault="00FF0DAA">
      <w:pPr>
        <w:pBdr>
          <w:top w:val="nil"/>
          <w:left w:val="nil"/>
          <w:bottom w:val="nil"/>
          <w:right w:val="nil"/>
          <w:between w:val="nil"/>
        </w:pBdr>
        <w:ind w:left="1145"/>
        <w:rPr>
          <w:sz w:val="24"/>
          <w:szCs w:val="24"/>
        </w:rPr>
      </w:pPr>
    </w:p>
    <w:p w:rsidR="00FF0DAA" w:rsidRDefault="0029045F">
      <w:pPr>
        <w:numPr>
          <w:ilvl w:val="1"/>
          <w:numId w:val="6"/>
        </w:numPr>
        <w:pBdr>
          <w:top w:val="nil"/>
          <w:left w:val="nil"/>
          <w:bottom w:val="nil"/>
          <w:right w:val="nil"/>
          <w:between w:val="nil"/>
        </w:pBdr>
        <w:rPr>
          <w:sz w:val="24"/>
          <w:szCs w:val="24"/>
        </w:rPr>
      </w:pPr>
      <w:r>
        <w:rPr>
          <w:sz w:val="24"/>
          <w:szCs w:val="24"/>
        </w:rPr>
        <w:t xml:space="preserve">The Supplier shall provide a consolidated invoice for each payment milestone. </w:t>
      </w:r>
    </w:p>
    <w:p w:rsidR="00FF0DAA" w:rsidRDefault="00FF0DAA">
      <w:pPr>
        <w:pBdr>
          <w:top w:val="nil"/>
          <w:left w:val="nil"/>
          <w:bottom w:val="nil"/>
          <w:right w:val="nil"/>
          <w:between w:val="nil"/>
        </w:pBdr>
        <w:ind w:left="1145"/>
        <w:rPr>
          <w:sz w:val="24"/>
          <w:szCs w:val="24"/>
        </w:rPr>
      </w:pPr>
    </w:p>
    <w:p w:rsidR="00FF0DAA" w:rsidRDefault="0029045F">
      <w:pPr>
        <w:numPr>
          <w:ilvl w:val="1"/>
          <w:numId w:val="6"/>
        </w:numPr>
        <w:pBdr>
          <w:top w:val="nil"/>
          <w:left w:val="nil"/>
          <w:bottom w:val="nil"/>
          <w:right w:val="nil"/>
          <w:between w:val="nil"/>
        </w:pBdr>
        <w:rPr>
          <w:sz w:val="24"/>
          <w:szCs w:val="24"/>
        </w:rPr>
      </w:pPr>
      <w:r>
        <w:rPr>
          <w:sz w:val="24"/>
          <w:szCs w:val="24"/>
        </w:rPr>
        <w:t>The Supplier will provide a quarterly invoice in arrears for services provided</w:t>
      </w:r>
    </w:p>
    <w:p w:rsidR="00FF0DAA" w:rsidRDefault="00FF0DAA">
      <w:pPr>
        <w:pBdr>
          <w:top w:val="nil"/>
          <w:left w:val="nil"/>
          <w:bottom w:val="nil"/>
          <w:right w:val="nil"/>
          <w:between w:val="nil"/>
        </w:pBdr>
        <w:ind w:left="1145"/>
        <w:rPr>
          <w:sz w:val="24"/>
          <w:szCs w:val="24"/>
        </w:rPr>
      </w:pPr>
    </w:p>
    <w:p w:rsidR="00FF0DAA" w:rsidRDefault="0029045F">
      <w:pPr>
        <w:numPr>
          <w:ilvl w:val="1"/>
          <w:numId w:val="6"/>
        </w:numPr>
        <w:pBdr>
          <w:top w:val="nil"/>
          <w:left w:val="nil"/>
          <w:bottom w:val="nil"/>
          <w:right w:val="nil"/>
          <w:between w:val="nil"/>
        </w:pBdr>
        <w:rPr>
          <w:sz w:val="24"/>
          <w:szCs w:val="24"/>
        </w:rPr>
      </w:pPr>
      <w:r>
        <w:rPr>
          <w:sz w:val="24"/>
          <w:szCs w:val="24"/>
        </w:rPr>
        <w:t>The Supplier shall agree that payment of invo</w:t>
      </w:r>
      <w:r>
        <w:rPr>
          <w:sz w:val="24"/>
          <w:szCs w:val="24"/>
        </w:rPr>
        <w:t>ices will be made within 30 days of the consolidated invoice date, subject to them being correct, containing the requirement information and in the required format.</w:t>
      </w:r>
    </w:p>
    <w:p w:rsidR="00FF0DAA" w:rsidRDefault="0029045F">
      <w:pPr>
        <w:numPr>
          <w:ilvl w:val="1"/>
          <w:numId w:val="6"/>
        </w:numPr>
        <w:pBdr>
          <w:top w:val="nil"/>
          <w:left w:val="nil"/>
          <w:bottom w:val="nil"/>
          <w:right w:val="nil"/>
          <w:between w:val="nil"/>
        </w:pBdr>
        <w:rPr>
          <w:sz w:val="24"/>
          <w:szCs w:val="24"/>
        </w:rPr>
      </w:pPr>
      <w:r>
        <w:rPr>
          <w:sz w:val="24"/>
          <w:szCs w:val="24"/>
        </w:rPr>
        <w:t xml:space="preserve"> Prices will be reviewed on an annual basis (on anniversary of the Contract award date) any</w:t>
      </w:r>
      <w:r>
        <w:rPr>
          <w:sz w:val="24"/>
          <w:szCs w:val="24"/>
        </w:rPr>
        <w:t xml:space="preserve"> price increase shall be subject to indexation   </w:t>
      </w:r>
    </w:p>
    <w:p w:rsidR="00FF0DAA" w:rsidRDefault="0029045F">
      <w:pPr>
        <w:pStyle w:val="Heading1"/>
        <w:numPr>
          <w:ilvl w:val="0"/>
          <w:numId w:val="6"/>
        </w:numPr>
      </w:pPr>
      <w:bookmarkStart w:id="69" w:name="_heading=h.1664s55" w:colFirst="0" w:colLast="0"/>
      <w:bookmarkEnd w:id="69"/>
      <w:r>
        <w:t>Contract Management</w:t>
      </w:r>
      <w:r>
        <w:rPr>
          <w:sz w:val="24"/>
          <w:szCs w:val="24"/>
        </w:rPr>
        <w:t xml:space="preserve"> </w:t>
      </w:r>
    </w:p>
    <w:p w:rsidR="00FF0DAA" w:rsidRDefault="0029045F">
      <w:pPr>
        <w:pStyle w:val="Heading3"/>
        <w:numPr>
          <w:ilvl w:val="1"/>
          <w:numId w:val="6"/>
        </w:numPr>
        <w:spacing w:before="200"/>
      </w:pPr>
      <w:bookmarkStart w:id="70" w:name="_heading=h.3q5sasy" w:colFirst="0" w:colLast="0"/>
      <w:bookmarkEnd w:id="70"/>
      <w:r>
        <w:t>Commercial management</w:t>
      </w:r>
    </w:p>
    <w:p w:rsidR="00FF0DAA" w:rsidRDefault="00FF0DAA">
      <w:pPr>
        <w:ind w:left="1145"/>
      </w:pPr>
    </w:p>
    <w:p w:rsidR="00FF0DAA" w:rsidRDefault="0029045F">
      <w:pPr>
        <w:numPr>
          <w:ilvl w:val="2"/>
          <w:numId w:val="6"/>
        </w:numPr>
        <w:pBdr>
          <w:top w:val="nil"/>
          <w:left w:val="nil"/>
          <w:bottom w:val="nil"/>
          <w:right w:val="nil"/>
          <w:between w:val="nil"/>
        </w:pBdr>
        <w:rPr>
          <w:sz w:val="24"/>
          <w:szCs w:val="24"/>
        </w:rPr>
      </w:pPr>
      <w:r>
        <w:rPr>
          <w:sz w:val="24"/>
          <w:szCs w:val="24"/>
        </w:rPr>
        <w:t>The Supplier shall allocate a dedicated account/contract manager to this contract.</w:t>
      </w:r>
    </w:p>
    <w:p w:rsidR="00FF0DAA" w:rsidRDefault="00FF0DAA">
      <w:pPr>
        <w:pBdr>
          <w:top w:val="nil"/>
          <w:left w:val="nil"/>
          <w:bottom w:val="nil"/>
          <w:right w:val="nil"/>
          <w:between w:val="nil"/>
        </w:pBdr>
        <w:ind w:left="1712"/>
        <w:rPr>
          <w:sz w:val="24"/>
          <w:szCs w:val="24"/>
        </w:rPr>
      </w:pPr>
    </w:p>
    <w:p w:rsidR="00FF0DAA" w:rsidRDefault="0029045F">
      <w:pPr>
        <w:numPr>
          <w:ilvl w:val="2"/>
          <w:numId w:val="6"/>
        </w:numPr>
        <w:pBdr>
          <w:top w:val="nil"/>
          <w:left w:val="nil"/>
          <w:bottom w:val="nil"/>
          <w:right w:val="nil"/>
          <w:between w:val="nil"/>
        </w:pBdr>
        <w:rPr>
          <w:sz w:val="24"/>
          <w:szCs w:val="24"/>
        </w:rPr>
      </w:pPr>
      <w:r>
        <w:rPr>
          <w:sz w:val="24"/>
          <w:szCs w:val="24"/>
        </w:rPr>
        <w:t>The Supplier shall attend commercial management meetings for this contract at quarterly intervals, unless otherwise agreed. These meetings shall commence no later than 1 month after the Call-Off Start Date.</w:t>
      </w:r>
    </w:p>
    <w:p w:rsidR="00FF0DAA" w:rsidRDefault="00FF0DAA">
      <w:pPr>
        <w:pBdr>
          <w:top w:val="nil"/>
          <w:left w:val="nil"/>
          <w:bottom w:val="nil"/>
          <w:right w:val="nil"/>
          <w:between w:val="nil"/>
        </w:pBdr>
        <w:ind w:left="578"/>
        <w:rPr>
          <w:sz w:val="24"/>
          <w:szCs w:val="24"/>
        </w:rPr>
      </w:pPr>
    </w:p>
    <w:p w:rsidR="00FF0DAA" w:rsidRDefault="0029045F">
      <w:pPr>
        <w:numPr>
          <w:ilvl w:val="2"/>
          <w:numId w:val="6"/>
        </w:numPr>
        <w:pBdr>
          <w:top w:val="nil"/>
          <w:left w:val="nil"/>
          <w:bottom w:val="nil"/>
          <w:right w:val="nil"/>
          <w:between w:val="nil"/>
        </w:pBdr>
        <w:rPr>
          <w:sz w:val="24"/>
          <w:szCs w:val="24"/>
        </w:rPr>
      </w:pPr>
      <w:r>
        <w:rPr>
          <w:sz w:val="24"/>
          <w:szCs w:val="24"/>
        </w:rPr>
        <w:t>The Supplier shall liaise with the Buyer in deve</w:t>
      </w:r>
      <w:r>
        <w:rPr>
          <w:sz w:val="24"/>
          <w:szCs w:val="24"/>
        </w:rPr>
        <w:t xml:space="preserve">loping a contract management process </w:t>
      </w:r>
      <w:proofErr w:type="gramStart"/>
      <w:r>
        <w:rPr>
          <w:sz w:val="24"/>
          <w:szCs w:val="24"/>
        </w:rPr>
        <w:t>following  contract</w:t>
      </w:r>
      <w:proofErr w:type="gramEnd"/>
      <w:r>
        <w:rPr>
          <w:sz w:val="24"/>
          <w:szCs w:val="24"/>
        </w:rPr>
        <w:t xml:space="preserve"> award stage, which will include but not limited to the following:</w:t>
      </w:r>
    </w:p>
    <w:p w:rsidR="00FF0DAA" w:rsidRDefault="00FF0DAA">
      <w:pPr>
        <w:pBdr>
          <w:top w:val="nil"/>
          <w:left w:val="nil"/>
          <w:bottom w:val="nil"/>
          <w:right w:val="nil"/>
          <w:between w:val="nil"/>
        </w:pBdr>
        <w:rPr>
          <w:sz w:val="24"/>
          <w:szCs w:val="24"/>
        </w:rPr>
      </w:pPr>
    </w:p>
    <w:p w:rsidR="00FF0DAA" w:rsidRDefault="0029045F">
      <w:pPr>
        <w:numPr>
          <w:ilvl w:val="3"/>
          <w:numId w:val="6"/>
        </w:numPr>
        <w:pBdr>
          <w:top w:val="nil"/>
          <w:left w:val="nil"/>
          <w:bottom w:val="nil"/>
          <w:right w:val="nil"/>
          <w:between w:val="nil"/>
        </w:pBdr>
        <w:rPr>
          <w:sz w:val="24"/>
          <w:szCs w:val="24"/>
        </w:rPr>
      </w:pPr>
      <w:r>
        <w:rPr>
          <w:sz w:val="24"/>
          <w:szCs w:val="24"/>
        </w:rPr>
        <w:t xml:space="preserve">Roles and responsibilities; </w:t>
      </w:r>
    </w:p>
    <w:p w:rsidR="00FF0DAA" w:rsidRDefault="00FF0DAA">
      <w:pPr>
        <w:pBdr>
          <w:top w:val="nil"/>
          <w:left w:val="nil"/>
          <w:bottom w:val="nil"/>
          <w:right w:val="nil"/>
          <w:between w:val="nil"/>
        </w:pBdr>
        <w:ind w:left="1712"/>
        <w:rPr>
          <w:sz w:val="24"/>
          <w:szCs w:val="24"/>
        </w:rPr>
      </w:pPr>
    </w:p>
    <w:p w:rsidR="00FF0DAA" w:rsidRDefault="0029045F">
      <w:pPr>
        <w:numPr>
          <w:ilvl w:val="3"/>
          <w:numId w:val="6"/>
        </w:numPr>
        <w:pBdr>
          <w:top w:val="nil"/>
          <w:left w:val="nil"/>
          <w:bottom w:val="nil"/>
          <w:right w:val="nil"/>
          <w:between w:val="nil"/>
        </w:pBdr>
        <w:rPr>
          <w:sz w:val="24"/>
          <w:szCs w:val="24"/>
        </w:rPr>
      </w:pPr>
      <w:r>
        <w:rPr>
          <w:sz w:val="24"/>
          <w:szCs w:val="24"/>
        </w:rPr>
        <w:t>Escalation process;</w:t>
      </w:r>
    </w:p>
    <w:p w:rsidR="00FF0DAA" w:rsidRDefault="00FF0DAA">
      <w:pPr>
        <w:pBdr>
          <w:top w:val="nil"/>
          <w:left w:val="nil"/>
          <w:bottom w:val="nil"/>
          <w:right w:val="nil"/>
          <w:between w:val="nil"/>
        </w:pBdr>
        <w:ind w:left="1712"/>
        <w:rPr>
          <w:sz w:val="24"/>
          <w:szCs w:val="24"/>
        </w:rPr>
      </w:pPr>
    </w:p>
    <w:p w:rsidR="00FF0DAA" w:rsidRDefault="0029045F">
      <w:pPr>
        <w:numPr>
          <w:ilvl w:val="3"/>
          <w:numId w:val="6"/>
        </w:numPr>
        <w:pBdr>
          <w:top w:val="nil"/>
          <w:left w:val="nil"/>
          <w:bottom w:val="nil"/>
          <w:right w:val="nil"/>
          <w:between w:val="nil"/>
        </w:pBdr>
        <w:rPr>
          <w:sz w:val="24"/>
          <w:szCs w:val="24"/>
        </w:rPr>
      </w:pPr>
      <w:r>
        <w:rPr>
          <w:sz w:val="24"/>
          <w:szCs w:val="24"/>
        </w:rPr>
        <w:t>Risk management review and develop plans to mitigate risks;</w:t>
      </w:r>
    </w:p>
    <w:p w:rsidR="00FF0DAA" w:rsidRDefault="00FF0DAA">
      <w:pPr>
        <w:pBdr>
          <w:top w:val="nil"/>
          <w:left w:val="nil"/>
          <w:bottom w:val="nil"/>
          <w:right w:val="nil"/>
          <w:between w:val="nil"/>
        </w:pBdr>
        <w:ind w:left="1712"/>
        <w:rPr>
          <w:sz w:val="24"/>
          <w:szCs w:val="24"/>
        </w:rPr>
      </w:pPr>
    </w:p>
    <w:p w:rsidR="00FF0DAA" w:rsidRDefault="0029045F">
      <w:pPr>
        <w:numPr>
          <w:ilvl w:val="2"/>
          <w:numId w:val="6"/>
        </w:numPr>
        <w:pBdr>
          <w:top w:val="nil"/>
          <w:left w:val="nil"/>
          <w:bottom w:val="nil"/>
          <w:right w:val="nil"/>
          <w:between w:val="nil"/>
        </w:pBdr>
        <w:rPr>
          <w:sz w:val="24"/>
          <w:szCs w:val="24"/>
        </w:rPr>
      </w:pPr>
      <w:r>
        <w:rPr>
          <w:sz w:val="24"/>
          <w:szCs w:val="24"/>
        </w:rPr>
        <w:t>The supplier will provide any necessary reports 5 days before the Contract management meeting;</w:t>
      </w:r>
    </w:p>
    <w:p w:rsidR="00FF0DAA" w:rsidRDefault="00FF0DAA">
      <w:pPr>
        <w:pBdr>
          <w:top w:val="nil"/>
          <w:left w:val="nil"/>
          <w:bottom w:val="nil"/>
          <w:right w:val="nil"/>
          <w:between w:val="nil"/>
        </w:pBdr>
        <w:ind w:left="1145"/>
        <w:rPr>
          <w:sz w:val="24"/>
          <w:szCs w:val="24"/>
        </w:rPr>
      </w:pPr>
    </w:p>
    <w:p w:rsidR="00FF0DAA" w:rsidRDefault="0029045F">
      <w:pPr>
        <w:numPr>
          <w:ilvl w:val="2"/>
          <w:numId w:val="6"/>
        </w:numPr>
        <w:pBdr>
          <w:top w:val="nil"/>
          <w:left w:val="nil"/>
          <w:bottom w:val="nil"/>
          <w:right w:val="nil"/>
          <w:between w:val="nil"/>
        </w:pBdr>
        <w:rPr>
          <w:sz w:val="24"/>
          <w:szCs w:val="24"/>
        </w:rPr>
      </w:pPr>
      <w:r>
        <w:rPr>
          <w:sz w:val="24"/>
          <w:szCs w:val="24"/>
        </w:rPr>
        <w:t>The location of the meetings will be virtual unless agreed in advance;</w:t>
      </w:r>
    </w:p>
    <w:p w:rsidR="00FF0DAA" w:rsidRDefault="00FF0DAA">
      <w:pPr>
        <w:pBdr>
          <w:top w:val="nil"/>
          <w:left w:val="nil"/>
          <w:bottom w:val="nil"/>
          <w:right w:val="nil"/>
          <w:between w:val="nil"/>
        </w:pBdr>
        <w:ind w:left="1145"/>
        <w:rPr>
          <w:sz w:val="24"/>
          <w:szCs w:val="24"/>
        </w:rPr>
      </w:pPr>
    </w:p>
    <w:p w:rsidR="00FF0DAA" w:rsidRDefault="0029045F">
      <w:pPr>
        <w:numPr>
          <w:ilvl w:val="2"/>
          <w:numId w:val="6"/>
        </w:numPr>
        <w:pBdr>
          <w:top w:val="nil"/>
          <w:left w:val="nil"/>
          <w:bottom w:val="nil"/>
          <w:right w:val="nil"/>
          <w:between w:val="nil"/>
        </w:pBdr>
        <w:rPr>
          <w:sz w:val="24"/>
          <w:szCs w:val="24"/>
        </w:rPr>
      </w:pPr>
      <w:r>
        <w:rPr>
          <w:sz w:val="24"/>
          <w:szCs w:val="24"/>
        </w:rPr>
        <w:t>The supplier will not charge for any costs associated with the Contract management meeti</w:t>
      </w:r>
      <w:r>
        <w:rPr>
          <w:sz w:val="24"/>
          <w:szCs w:val="24"/>
        </w:rPr>
        <w:t>ngs.</w:t>
      </w:r>
    </w:p>
    <w:p w:rsidR="00FF0DAA" w:rsidRDefault="00FF0DAA">
      <w:pPr>
        <w:pBdr>
          <w:top w:val="nil"/>
          <w:left w:val="nil"/>
          <w:bottom w:val="nil"/>
          <w:right w:val="nil"/>
          <w:between w:val="nil"/>
        </w:pBdr>
        <w:ind w:left="1712"/>
        <w:rPr>
          <w:sz w:val="24"/>
          <w:szCs w:val="24"/>
        </w:rPr>
      </w:pPr>
    </w:p>
    <w:p w:rsidR="00FF0DAA" w:rsidRDefault="0029045F">
      <w:pPr>
        <w:pStyle w:val="Heading3"/>
        <w:numPr>
          <w:ilvl w:val="1"/>
          <w:numId w:val="6"/>
        </w:numPr>
      </w:pPr>
      <w:bookmarkStart w:id="71" w:name="_heading=h.25b2l0r" w:colFirst="0" w:colLast="0"/>
      <w:bookmarkEnd w:id="71"/>
      <w:r>
        <w:t>Technical management</w:t>
      </w:r>
    </w:p>
    <w:p w:rsidR="00FF0DAA" w:rsidRDefault="00FF0DAA">
      <w:pPr>
        <w:ind w:left="1145"/>
      </w:pPr>
    </w:p>
    <w:p w:rsidR="00FF0DAA" w:rsidRDefault="0029045F">
      <w:pPr>
        <w:numPr>
          <w:ilvl w:val="2"/>
          <w:numId w:val="6"/>
        </w:numPr>
        <w:rPr>
          <w:sz w:val="24"/>
          <w:szCs w:val="24"/>
        </w:rPr>
      </w:pPr>
      <w:r>
        <w:rPr>
          <w:sz w:val="24"/>
          <w:szCs w:val="24"/>
        </w:rPr>
        <w:t>The Supplier shall allocate a dedicated technical point of contact to this contract.</w:t>
      </w:r>
    </w:p>
    <w:p w:rsidR="00FF0DAA" w:rsidRDefault="00FF0DAA">
      <w:pPr>
        <w:ind w:left="1712"/>
        <w:rPr>
          <w:sz w:val="24"/>
          <w:szCs w:val="24"/>
        </w:rPr>
      </w:pPr>
    </w:p>
    <w:p w:rsidR="00FF0DAA" w:rsidRDefault="0029045F">
      <w:pPr>
        <w:numPr>
          <w:ilvl w:val="2"/>
          <w:numId w:val="6"/>
        </w:numPr>
      </w:pPr>
      <w:r>
        <w:rPr>
          <w:sz w:val="24"/>
          <w:szCs w:val="24"/>
        </w:rPr>
        <w:t>The Supplier shall attend technical management meetings for this contract at quarterly intervals, unless otherwise agreed. These meetings shall commence no later than 1 month after the Call-Off Start Date.</w:t>
      </w:r>
      <w:r>
        <w:rPr>
          <w:sz w:val="24"/>
          <w:szCs w:val="24"/>
        </w:rPr>
        <w:br/>
      </w:r>
    </w:p>
    <w:p w:rsidR="00FF0DAA" w:rsidRDefault="0029045F">
      <w:pPr>
        <w:numPr>
          <w:ilvl w:val="2"/>
          <w:numId w:val="6"/>
        </w:numPr>
      </w:pPr>
      <w:r>
        <w:rPr>
          <w:sz w:val="24"/>
          <w:szCs w:val="24"/>
        </w:rPr>
        <w:t>The Supplier shall agree that technical managemen</w:t>
      </w:r>
      <w:r>
        <w:rPr>
          <w:sz w:val="24"/>
          <w:szCs w:val="24"/>
        </w:rPr>
        <w:t>t meetings will include Performance Review Meetings, as described in Call-Off Schedule 14.</w:t>
      </w:r>
      <w:r>
        <w:rPr>
          <w:sz w:val="24"/>
          <w:szCs w:val="24"/>
        </w:rPr>
        <w:br/>
      </w:r>
    </w:p>
    <w:p w:rsidR="00FF0DAA" w:rsidRDefault="0029045F">
      <w:pPr>
        <w:numPr>
          <w:ilvl w:val="2"/>
          <w:numId w:val="6"/>
        </w:numPr>
      </w:pPr>
      <w:r>
        <w:rPr>
          <w:sz w:val="24"/>
          <w:szCs w:val="24"/>
        </w:rPr>
        <w:t>The supplier will provide any necessary reports or dashboards one (1) week before the technical management meeting.</w:t>
      </w:r>
    </w:p>
    <w:p w:rsidR="00FF0DAA" w:rsidRDefault="00FF0DAA">
      <w:pPr>
        <w:ind w:left="1712"/>
        <w:rPr>
          <w:sz w:val="24"/>
          <w:szCs w:val="24"/>
        </w:rPr>
      </w:pPr>
    </w:p>
    <w:p w:rsidR="00FF0DAA" w:rsidRDefault="0029045F">
      <w:pPr>
        <w:numPr>
          <w:ilvl w:val="2"/>
          <w:numId w:val="6"/>
        </w:numPr>
        <w:rPr>
          <w:sz w:val="24"/>
          <w:szCs w:val="24"/>
        </w:rPr>
      </w:pPr>
      <w:r>
        <w:rPr>
          <w:sz w:val="24"/>
          <w:szCs w:val="24"/>
        </w:rPr>
        <w:t>The supplier shall provide any material that is</w:t>
      </w:r>
      <w:r>
        <w:rPr>
          <w:sz w:val="24"/>
          <w:szCs w:val="24"/>
        </w:rPr>
        <w:t xml:space="preserve"> to be published in its final publishable form. The publishable material includes:</w:t>
      </w:r>
    </w:p>
    <w:p w:rsidR="00FF0DAA" w:rsidRDefault="00FF0DAA">
      <w:pPr>
        <w:ind w:left="1712"/>
        <w:rPr>
          <w:sz w:val="24"/>
          <w:szCs w:val="24"/>
        </w:rPr>
      </w:pPr>
    </w:p>
    <w:p w:rsidR="00FF0DAA" w:rsidRDefault="0029045F">
      <w:pPr>
        <w:numPr>
          <w:ilvl w:val="3"/>
          <w:numId w:val="6"/>
        </w:numPr>
        <w:rPr>
          <w:sz w:val="24"/>
          <w:szCs w:val="24"/>
        </w:rPr>
      </w:pPr>
      <w:r>
        <w:rPr>
          <w:sz w:val="24"/>
          <w:szCs w:val="24"/>
        </w:rPr>
        <w:t>Publishable KPIs as described in Call-Off Schedule 14;</w:t>
      </w:r>
    </w:p>
    <w:p w:rsidR="00FF0DAA" w:rsidRDefault="00FF0DAA">
      <w:pPr>
        <w:ind w:left="2562"/>
        <w:rPr>
          <w:sz w:val="24"/>
          <w:szCs w:val="24"/>
        </w:rPr>
      </w:pPr>
    </w:p>
    <w:p w:rsidR="00FF0DAA" w:rsidRDefault="0029045F">
      <w:pPr>
        <w:numPr>
          <w:ilvl w:val="3"/>
          <w:numId w:val="6"/>
        </w:numPr>
        <w:rPr>
          <w:sz w:val="24"/>
          <w:szCs w:val="24"/>
        </w:rPr>
      </w:pPr>
      <w:r>
        <w:rPr>
          <w:sz w:val="24"/>
          <w:szCs w:val="24"/>
        </w:rPr>
        <w:t>Transparency reports as described in Call-Off Schedule 11.</w:t>
      </w:r>
    </w:p>
    <w:p w:rsidR="00FF0DAA" w:rsidRDefault="00FF0DAA">
      <w:pPr>
        <w:ind w:left="1145"/>
        <w:rPr>
          <w:sz w:val="24"/>
          <w:szCs w:val="24"/>
        </w:rPr>
      </w:pPr>
    </w:p>
    <w:p w:rsidR="00FF0DAA" w:rsidRDefault="0029045F">
      <w:pPr>
        <w:numPr>
          <w:ilvl w:val="2"/>
          <w:numId w:val="6"/>
        </w:numPr>
      </w:pPr>
      <w:r>
        <w:rPr>
          <w:sz w:val="24"/>
          <w:szCs w:val="24"/>
        </w:rPr>
        <w:t>The location of the meetings will be virtual unless agre</w:t>
      </w:r>
      <w:r>
        <w:rPr>
          <w:sz w:val="24"/>
          <w:szCs w:val="24"/>
        </w:rPr>
        <w:t>ed in advance.</w:t>
      </w:r>
    </w:p>
    <w:p w:rsidR="00FF0DAA" w:rsidRDefault="00FF0DAA">
      <w:pPr>
        <w:ind w:left="1145"/>
        <w:rPr>
          <w:sz w:val="24"/>
          <w:szCs w:val="24"/>
        </w:rPr>
      </w:pPr>
    </w:p>
    <w:p w:rsidR="00FF0DAA" w:rsidRDefault="0029045F">
      <w:pPr>
        <w:numPr>
          <w:ilvl w:val="2"/>
          <w:numId w:val="6"/>
        </w:numPr>
      </w:pPr>
      <w:r>
        <w:rPr>
          <w:sz w:val="24"/>
          <w:szCs w:val="24"/>
        </w:rPr>
        <w:t>The supplier will not charge for any costs associated with the Contract management meetings.</w:t>
      </w:r>
    </w:p>
    <w:p w:rsidR="00FF0DAA" w:rsidRDefault="0029045F">
      <w:pPr>
        <w:pStyle w:val="Heading1"/>
        <w:numPr>
          <w:ilvl w:val="0"/>
          <w:numId w:val="6"/>
        </w:numPr>
      </w:pPr>
      <w:bookmarkStart w:id="72" w:name="_heading=h.kgcv8k" w:colFirst="0" w:colLast="0"/>
      <w:bookmarkEnd w:id="72"/>
      <w:r>
        <w:rPr>
          <w:sz w:val="24"/>
          <w:szCs w:val="24"/>
        </w:rPr>
        <w:t xml:space="preserve"> </w:t>
      </w:r>
      <w:r>
        <w:t>Location</w:t>
      </w:r>
      <w:r>
        <w:rPr>
          <w:sz w:val="24"/>
          <w:szCs w:val="24"/>
        </w:rPr>
        <w:t xml:space="preserve"> </w:t>
      </w:r>
    </w:p>
    <w:p w:rsidR="00FF0DAA" w:rsidRDefault="0029045F">
      <w:pPr>
        <w:numPr>
          <w:ilvl w:val="1"/>
          <w:numId w:val="6"/>
        </w:numPr>
        <w:pBdr>
          <w:top w:val="nil"/>
          <w:left w:val="nil"/>
          <w:bottom w:val="nil"/>
          <w:right w:val="nil"/>
          <w:between w:val="nil"/>
        </w:pBdr>
        <w:rPr>
          <w:sz w:val="24"/>
          <w:szCs w:val="24"/>
        </w:rPr>
      </w:pPr>
      <w:r>
        <w:rPr>
          <w:sz w:val="24"/>
          <w:szCs w:val="24"/>
        </w:rPr>
        <w:t xml:space="preserve">The supplier shall work at its own premises unless requested to attend at the Buyer’s premises. </w:t>
      </w:r>
    </w:p>
    <w:p w:rsidR="00FF0DAA" w:rsidRDefault="00FF0DAA"/>
    <w:sectPr w:rsidR="00FF0DAA">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045F" w:rsidRDefault="0029045F">
      <w:pPr>
        <w:spacing w:line="240" w:lineRule="auto"/>
      </w:pPr>
      <w:r>
        <w:separator/>
      </w:r>
    </w:p>
  </w:endnote>
  <w:endnote w:type="continuationSeparator" w:id="0">
    <w:p w:rsidR="0029045F" w:rsidRDefault="002904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0DAA" w:rsidRDefault="00FF0DAA">
    <w:pPr>
      <w:pStyle w:val="Heading2"/>
      <w:keepNext w:val="0"/>
      <w:keepLines w:val="0"/>
      <w:tabs>
        <w:tab w:val="center" w:pos="4513"/>
        <w:tab w:val="right" w:pos="9026"/>
      </w:tabs>
      <w:spacing w:after="80"/>
      <w:ind w:left="720" w:firstLine="785"/>
      <w:rPr>
        <w:sz w:val="24"/>
        <w:szCs w:val="24"/>
      </w:rPr>
    </w:pPr>
    <w:bookmarkStart w:id="9" w:name="_heading=h.34g0dwd" w:colFirst="0" w:colLast="0"/>
    <w:bookmarkEnd w:id="9"/>
  </w:p>
  <w:p w:rsidR="00FF0DAA" w:rsidRDefault="0029045F">
    <w:pPr>
      <w:tabs>
        <w:tab w:val="center" w:pos="4513"/>
        <w:tab w:val="right" w:pos="9026"/>
      </w:tabs>
      <w:spacing w:after="80"/>
    </w:pPr>
    <w:r>
      <w:t>Framework Ref: RM6116</w:t>
    </w:r>
  </w:p>
  <w:p w:rsidR="00FF0DAA" w:rsidRDefault="0029045F">
    <w:pPr>
      <w:tabs>
        <w:tab w:val="center" w:pos="4513"/>
        <w:tab w:val="right" w:pos="9026"/>
      </w:tabs>
      <w:rPr>
        <w:sz w:val="20"/>
        <w:szCs w:val="20"/>
      </w:rPr>
    </w:pPr>
    <w:r>
      <w:rPr>
        <w:sz w:val="20"/>
        <w:szCs w:val="20"/>
      </w:rPr>
      <w:t>Project Version: v1.0</w:t>
    </w:r>
    <w:r>
      <w:rPr>
        <w:sz w:val="20"/>
        <w:szCs w:val="20"/>
      </w:rPr>
      <w:tab/>
    </w:r>
    <w:r>
      <w:rPr>
        <w:sz w:val="20"/>
        <w:szCs w:val="20"/>
      </w:rPr>
      <w:tab/>
    </w:r>
  </w:p>
  <w:p w:rsidR="00FF0DAA" w:rsidRDefault="0029045F">
    <w:pPr>
      <w:tabs>
        <w:tab w:val="center" w:pos="4513"/>
        <w:tab w:val="right" w:pos="9026"/>
      </w:tabs>
      <w:spacing w:line="240" w:lineRule="auto"/>
      <w:rPr>
        <w:sz w:val="20"/>
        <w:szCs w:val="20"/>
      </w:rPr>
    </w:pPr>
    <w:r>
      <w:rPr>
        <w:sz w:val="20"/>
        <w:szCs w:val="20"/>
      </w:rPr>
      <w:t>Model Version: v3.0</w:t>
    </w:r>
  </w:p>
  <w:p w:rsidR="00FF0DAA" w:rsidRDefault="00FF0DAA"/>
  <w:p w:rsidR="00FF0DAA" w:rsidRDefault="0029045F">
    <w:pPr>
      <w:jc w:val="right"/>
    </w:pPr>
    <w:r>
      <w:fldChar w:fldCharType="begin"/>
    </w:r>
    <w:r>
      <w:instrText>PAGE</w:instrText>
    </w:r>
    <w:r w:rsidR="00795979">
      <w:fldChar w:fldCharType="separate"/>
    </w:r>
    <w:r w:rsidR="00795979">
      <w:rPr>
        <w:noProof/>
      </w:rPr>
      <w:t>1</w:t>
    </w:r>
    <w:r>
      <w:fldChar w:fldCharType="end"/>
    </w:r>
  </w:p>
  <w:p w:rsidR="00FF0DAA" w:rsidRDefault="00FF0DAA">
    <w:pPr>
      <w:widowControl w:val="0"/>
      <w:pBdr>
        <w:top w:val="nil"/>
        <w:left w:val="nil"/>
        <w:bottom w:val="nil"/>
        <w:right w:val="nil"/>
        <w:between w:val="nil"/>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045F" w:rsidRDefault="0029045F">
      <w:pPr>
        <w:spacing w:line="240" w:lineRule="auto"/>
      </w:pPr>
      <w:r>
        <w:separator/>
      </w:r>
    </w:p>
  </w:footnote>
  <w:footnote w:type="continuationSeparator" w:id="0">
    <w:p w:rsidR="0029045F" w:rsidRDefault="0029045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0DAA" w:rsidRDefault="0029045F">
    <w:pPr>
      <w:tabs>
        <w:tab w:val="center" w:pos="4513"/>
        <w:tab w:val="right" w:pos="9026"/>
      </w:tabs>
      <w:spacing w:line="240" w:lineRule="auto"/>
      <w:rPr>
        <w:sz w:val="20"/>
        <w:szCs w:val="20"/>
      </w:rPr>
    </w:pPr>
    <w:r>
      <w:rPr>
        <w:sz w:val="20"/>
        <w:szCs w:val="20"/>
      </w:rPr>
      <w:t>Call-Off Schedule 20 (Call-Off Specification)</w:t>
    </w:r>
  </w:p>
  <w:p w:rsidR="00FF0DAA" w:rsidRDefault="0029045F">
    <w:pPr>
      <w:tabs>
        <w:tab w:val="center" w:pos="4513"/>
        <w:tab w:val="right" w:pos="9026"/>
      </w:tabs>
      <w:spacing w:line="240" w:lineRule="auto"/>
      <w:rPr>
        <w:sz w:val="20"/>
        <w:szCs w:val="20"/>
      </w:rPr>
    </w:pPr>
    <w:r>
      <w:rPr>
        <w:sz w:val="20"/>
        <w:szCs w:val="20"/>
      </w:rPr>
      <w:t xml:space="preserve">Call-Off Ref: </w:t>
    </w:r>
    <w:r>
      <w:rPr>
        <w:rFonts w:ascii="Helvetica Neue" w:eastAsia="Helvetica Neue" w:hAnsi="Helvetica Neue" w:cs="Helvetica Neue"/>
        <w:color w:val="222222"/>
        <w:highlight w:val="white"/>
      </w:rPr>
      <w:t>CCZN23A12</w:t>
    </w:r>
  </w:p>
  <w:p w:rsidR="00FF0DAA" w:rsidRDefault="0029045F">
    <w:pPr>
      <w:tabs>
        <w:tab w:val="center" w:pos="4513"/>
        <w:tab w:val="right" w:pos="9026"/>
      </w:tabs>
      <w:spacing w:line="240" w:lineRule="auto"/>
    </w:pPr>
    <w:r>
      <w:rPr>
        <w:sz w:val="20"/>
        <w:szCs w:val="20"/>
      </w:rPr>
      <w:t>Crown Copyright 2018</w:t>
    </w:r>
    <w:r>
      <w:rPr>
        <w:sz w:val="20"/>
        <w:szCs w:val="20"/>
      </w:rPr>
      <w:br/>
    </w:r>
  </w:p>
  <w:p w:rsidR="00FF0DAA" w:rsidRDefault="00FF0D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A79B9"/>
    <w:multiLevelType w:val="multilevel"/>
    <w:tmpl w:val="08865628"/>
    <w:lvl w:ilvl="0">
      <w:start w:val="1"/>
      <w:numFmt w:val="bullet"/>
      <w:lvlText w:val="●"/>
      <w:lvlJc w:val="left"/>
      <w:pPr>
        <w:ind w:left="3600" w:hanging="360"/>
      </w:pPr>
      <w:rPr>
        <w:u w:val="none"/>
      </w:rPr>
    </w:lvl>
    <w:lvl w:ilvl="1">
      <w:start w:val="1"/>
      <w:numFmt w:val="bullet"/>
      <w:lvlText w:val="○"/>
      <w:lvlJc w:val="left"/>
      <w:pPr>
        <w:ind w:left="4320" w:hanging="360"/>
      </w:pPr>
      <w:rPr>
        <w:u w:val="none"/>
      </w:rPr>
    </w:lvl>
    <w:lvl w:ilvl="2">
      <w:start w:val="1"/>
      <w:numFmt w:val="bullet"/>
      <w:lvlText w:val="■"/>
      <w:lvlJc w:val="left"/>
      <w:pPr>
        <w:ind w:left="5040" w:hanging="360"/>
      </w:pPr>
      <w:rPr>
        <w:u w:val="none"/>
      </w:rPr>
    </w:lvl>
    <w:lvl w:ilvl="3">
      <w:start w:val="1"/>
      <w:numFmt w:val="bullet"/>
      <w:lvlText w:val="●"/>
      <w:lvlJc w:val="left"/>
      <w:pPr>
        <w:ind w:left="5760" w:hanging="360"/>
      </w:pPr>
      <w:rPr>
        <w:u w:val="none"/>
      </w:rPr>
    </w:lvl>
    <w:lvl w:ilvl="4">
      <w:start w:val="1"/>
      <w:numFmt w:val="bullet"/>
      <w:lvlText w:val="○"/>
      <w:lvlJc w:val="left"/>
      <w:pPr>
        <w:ind w:left="6480" w:hanging="360"/>
      </w:pPr>
      <w:rPr>
        <w:u w:val="none"/>
      </w:rPr>
    </w:lvl>
    <w:lvl w:ilvl="5">
      <w:start w:val="1"/>
      <w:numFmt w:val="bullet"/>
      <w:lvlText w:val="■"/>
      <w:lvlJc w:val="left"/>
      <w:pPr>
        <w:ind w:left="7200" w:hanging="360"/>
      </w:pPr>
      <w:rPr>
        <w:u w:val="none"/>
      </w:rPr>
    </w:lvl>
    <w:lvl w:ilvl="6">
      <w:start w:val="1"/>
      <w:numFmt w:val="bullet"/>
      <w:lvlText w:val="●"/>
      <w:lvlJc w:val="left"/>
      <w:pPr>
        <w:ind w:left="7920" w:hanging="360"/>
      </w:pPr>
      <w:rPr>
        <w:u w:val="none"/>
      </w:rPr>
    </w:lvl>
    <w:lvl w:ilvl="7">
      <w:start w:val="1"/>
      <w:numFmt w:val="bullet"/>
      <w:lvlText w:val="○"/>
      <w:lvlJc w:val="left"/>
      <w:pPr>
        <w:ind w:left="8640" w:hanging="360"/>
      </w:pPr>
      <w:rPr>
        <w:u w:val="none"/>
      </w:rPr>
    </w:lvl>
    <w:lvl w:ilvl="8">
      <w:start w:val="1"/>
      <w:numFmt w:val="bullet"/>
      <w:lvlText w:val="■"/>
      <w:lvlJc w:val="left"/>
      <w:pPr>
        <w:ind w:left="9360" w:hanging="360"/>
      </w:pPr>
      <w:rPr>
        <w:u w:val="none"/>
      </w:rPr>
    </w:lvl>
  </w:abstractNum>
  <w:abstractNum w:abstractNumId="1" w15:restartNumberingAfterBreak="0">
    <w:nsid w:val="298B68E4"/>
    <w:multiLevelType w:val="multilevel"/>
    <w:tmpl w:val="8BD6FF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46E16EA8"/>
    <w:multiLevelType w:val="multilevel"/>
    <w:tmpl w:val="CA4A1FA0"/>
    <w:lvl w:ilvl="0">
      <w:start w:val="1"/>
      <w:numFmt w:val="decimal"/>
      <w:lvlText w:val="%1."/>
      <w:lvlJc w:val="right"/>
      <w:pPr>
        <w:ind w:left="578" w:hanging="360"/>
      </w:pPr>
      <w:rPr>
        <w:sz w:val="40"/>
        <w:szCs w:val="40"/>
        <w:u w:val="none"/>
      </w:rPr>
    </w:lvl>
    <w:lvl w:ilvl="1">
      <w:start w:val="1"/>
      <w:numFmt w:val="decimal"/>
      <w:lvlText w:val="%1.%2."/>
      <w:lvlJc w:val="right"/>
      <w:pPr>
        <w:ind w:left="1145" w:hanging="360"/>
      </w:pPr>
      <w:rPr>
        <w:rFonts w:ascii="Arial" w:eastAsia="Arial" w:hAnsi="Arial" w:cs="Arial"/>
        <w:b w:val="0"/>
        <w:color w:val="000000"/>
        <w:sz w:val="32"/>
        <w:szCs w:val="32"/>
        <w:u w:val="none"/>
      </w:rPr>
    </w:lvl>
    <w:lvl w:ilvl="2">
      <w:start w:val="1"/>
      <w:numFmt w:val="decimal"/>
      <w:lvlText w:val="%1.%2.%3."/>
      <w:lvlJc w:val="right"/>
      <w:pPr>
        <w:ind w:left="1712" w:hanging="360"/>
      </w:pPr>
      <w:rPr>
        <w:sz w:val="24"/>
        <w:szCs w:val="24"/>
        <w:u w:val="none"/>
      </w:rPr>
    </w:lvl>
    <w:lvl w:ilvl="3">
      <w:start w:val="1"/>
      <w:numFmt w:val="decimal"/>
      <w:lvlText w:val="%1.%2.%3.%4."/>
      <w:lvlJc w:val="right"/>
      <w:pPr>
        <w:ind w:left="2562" w:hanging="359"/>
      </w:pPr>
      <w:rPr>
        <w:sz w:val="24"/>
        <w:szCs w:val="24"/>
        <w:u w:val="none"/>
      </w:rPr>
    </w:lvl>
    <w:lvl w:ilvl="4">
      <w:start w:val="1"/>
      <w:numFmt w:val="bullet"/>
      <w:lvlText w:val="○"/>
      <w:lvlJc w:val="left"/>
      <w:pPr>
        <w:ind w:left="4535" w:hanging="141"/>
      </w:pPr>
      <w:rPr>
        <w:u w:val="none"/>
      </w:rPr>
    </w:lvl>
    <w:lvl w:ilvl="5">
      <w:start w:val="1"/>
      <w:numFmt w:val="decimal"/>
      <w:lvlText w:val="%1.%2.%3.%4.○.%6."/>
      <w:lvlJc w:val="right"/>
      <w:pPr>
        <w:ind w:left="4535" w:hanging="360"/>
      </w:pPr>
      <w:rPr>
        <w:u w:val="none"/>
      </w:rPr>
    </w:lvl>
    <w:lvl w:ilvl="6">
      <w:start w:val="1"/>
      <w:numFmt w:val="decimal"/>
      <w:lvlText w:val="%1.%2.%3.%4.○.%6.%7."/>
      <w:lvlJc w:val="right"/>
      <w:pPr>
        <w:ind w:left="8640" w:hanging="360"/>
      </w:pPr>
      <w:rPr>
        <w:u w:val="none"/>
      </w:rPr>
    </w:lvl>
    <w:lvl w:ilvl="7">
      <w:start w:val="1"/>
      <w:numFmt w:val="decimal"/>
      <w:lvlText w:val="%1.%2.%3.%4.○.%6.%7.%8."/>
      <w:lvlJc w:val="right"/>
      <w:pPr>
        <w:ind w:left="9360" w:hanging="360"/>
      </w:pPr>
      <w:rPr>
        <w:u w:val="none"/>
      </w:rPr>
    </w:lvl>
    <w:lvl w:ilvl="8">
      <w:start w:val="1"/>
      <w:numFmt w:val="decimal"/>
      <w:lvlText w:val="%1.%2.%3.%4.○.%6.%7.%8.%9."/>
      <w:lvlJc w:val="right"/>
      <w:pPr>
        <w:ind w:left="10080" w:hanging="360"/>
      </w:pPr>
      <w:rPr>
        <w:u w:val="none"/>
      </w:rPr>
    </w:lvl>
  </w:abstractNum>
  <w:abstractNum w:abstractNumId="3" w15:restartNumberingAfterBreak="0">
    <w:nsid w:val="4ABE1767"/>
    <w:multiLevelType w:val="multilevel"/>
    <w:tmpl w:val="1EB6782E"/>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4" w15:restartNumberingAfterBreak="0">
    <w:nsid w:val="6AFE603A"/>
    <w:multiLevelType w:val="multilevel"/>
    <w:tmpl w:val="B840F2B4"/>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5" w15:restartNumberingAfterBreak="0">
    <w:nsid w:val="722F3F1F"/>
    <w:multiLevelType w:val="multilevel"/>
    <w:tmpl w:val="77580624"/>
    <w:lvl w:ilvl="0">
      <w:start w:val="11"/>
      <w:numFmt w:val="bullet"/>
      <w:lvlText w:val="●"/>
      <w:lvlJc w:val="left"/>
      <w:pPr>
        <w:ind w:left="720" w:hanging="360"/>
      </w:pPr>
      <w:rPr>
        <w:rFonts w:ascii="Arial" w:eastAsia="Arial" w:hAnsi="Arial" w:cs="Arial"/>
        <w:b/>
        <w:u w:val="none"/>
      </w:rPr>
    </w:lvl>
    <w:lvl w:ilvl="1">
      <w:start w:val="4"/>
      <w:numFmt w:val="bullet"/>
      <w:lvlText w:val="○"/>
      <w:lvlJc w:val="left"/>
      <w:pPr>
        <w:ind w:left="1440" w:hanging="360"/>
      </w:pPr>
      <w:rPr>
        <w:rFonts w:ascii="Helvetica Neue" w:eastAsia="Helvetica Neue" w:hAnsi="Helvetica Neue" w:cs="Helvetica Neue"/>
        <w:b w:val="0"/>
        <w:sz w:val="24"/>
        <w:szCs w:val="24"/>
        <w:u w:val="none"/>
        <w:shd w:val="clear" w:color="auto" w:fill="auto"/>
      </w:rPr>
    </w:lvl>
    <w:lvl w:ilvl="2">
      <w:start w:val="1"/>
      <w:numFmt w:val="bullet"/>
      <w:lvlText w:val="■"/>
      <w:lvlJc w:val="left"/>
      <w:pPr>
        <w:ind w:left="2160" w:hanging="360"/>
      </w:pPr>
      <w:rPr>
        <w:rFonts w:ascii="Arial" w:eastAsia="Arial" w:hAnsi="Arial" w:cs="Arial"/>
        <w:b w:val="0"/>
        <w:sz w:val="24"/>
        <w:szCs w:val="24"/>
        <w:highlight w:val="white"/>
        <w:u w:val="none"/>
      </w:rPr>
    </w:lvl>
    <w:lvl w:ilvl="3">
      <w:start w:val="1"/>
      <w:numFmt w:val="bullet"/>
      <w:lvlText w:val="●"/>
      <w:lvlJc w:val="left"/>
      <w:pPr>
        <w:ind w:left="2880" w:hanging="360"/>
      </w:pPr>
      <w:rPr>
        <w:sz w:val="24"/>
        <w:szCs w:val="24"/>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4"/>
  </w:num>
  <w:num w:numId="3">
    <w:abstractNumId w:val="3"/>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DAA"/>
    <w:rsid w:val="0029045F"/>
    <w:rsid w:val="00795979"/>
    <w:rsid w:val="00FF0D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F50E14"/>
  <w15:docId w15:val="{6FE2263A-7BE0-47A3-A2B5-6ED11C428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200"/>
      <w:ind w:left="578" w:hanging="360"/>
      <w:outlineLvl w:val="0"/>
    </w:pPr>
    <w:rPr>
      <w:sz w:val="40"/>
      <w:szCs w:val="40"/>
    </w:rPr>
  </w:style>
  <w:style w:type="paragraph" w:styleId="Heading2">
    <w:name w:val="heading 2"/>
    <w:basedOn w:val="Normal"/>
    <w:next w:val="Normal"/>
    <w:uiPriority w:val="9"/>
    <w:unhideWhenUsed/>
    <w:qFormat/>
    <w:pPr>
      <w:keepNext/>
      <w:keepLines/>
      <w:spacing w:before="200" w:after="200"/>
      <w:ind w:left="1145" w:hanging="360"/>
      <w:outlineLvl w:val="1"/>
    </w:pPr>
    <w:rPr>
      <w:sz w:val="32"/>
      <w:szCs w:val="32"/>
    </w:rPr>
  </w:style>
  <w:style w:type="paragraph" w:styleId="Heading3">
    <w:name w:val="heading 3"/>
    <w:basedOn w:val="Normal"/>
    <w:next w:val="Normal"/>
    <w:uiPriority w:val="9"/>
    <w:unhideWhenUsed/>
    <w:qFormat/>
    <w:pPr>
      <w:keepNext/>
      <w:keepLines/>
      <w:spacing w:before="320" w:after="80"/>
      <w:ind w:left="1712" w:hanging="360"/>
      <w:outlineLvl w:val="2"/>
    </w:pPr>
    <w:rPr>
      <w:b/>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pPr>
      <w:spacing w:line="240" w:lineRule="auto"/>
    </w:pPr>
    <w:rPr>
      <w:rFonts w:ascii="Cambria" w:eastAsia="Cambria" w:hAnsi="Cambria" w:cs="Cambria"/>
      <w:color w:val="E98300"/>
      <w:sz w:val="20"/>
      <w:szCs w:val="20"/>
    </w:rPr>
    <w:tblPr>
      <w:tblStyleRowBandSize w:val="1"/>
      <w:tblStyleColBandSize w:val="1"/>
      <w:tblCellMar>
        <w:top w:w="100" w:type="dxa"/>
        <w:left w:w="115" w:type="dxa"/>
        <w:bottom w:w="100" w:type="dxa"/>
        <w:right w:w="115" w:type="dxa"/>
      </w:tblCellMar>
    </w:tblPr>
    <w:tcPr>
      <w:shd w:val="clear" w:color="auto" w:fill="auto"/>
    </w:tcPr>
  </w:style>
  <w:style w:type="table" w:customStyle="1" w:styleId="a1">
    <w:basedOn w:val="TableNormal"/>
    <w:tblPr>
      <w:tblStyleRowBandSize w:val="1"/>
      <w:tblStyleColBandSize w:val="1"/>
      <w:tblCellMar>
        <w:top w:w="100" w:type="dxa"/>
        <w:left w:w="100" w:type="dxa"/>
        <w:bottom w:w="100" w:type="dxa"/>
        <w:right w:w="100" w:type="dxa"/>
      </w:tblCellMar>
    </w:tblPr>
  </w:style>
  <w:style w:type="character" w:styleId="CommentReference">
    <w:name w:val="annotation reference"/>
    <w:basedOn w:val="DefaultParagraphFont"/>
    <w:uiPriority w:val="99"/>
    <w:semiHidden/>
    <w:unhideWhenUsed/>
    <w:rsid w:val="00971AA1"/>
    <w:rPr>
      <w:sz w:val="16"/>
      <w:szCs w:val="16"/>
    </w:rPr>
  </w:style>
  <w:style w:type="paragraph" w:styleId="CommentText">
    <w:name w:val="annotation text"/>
    <w:basedOn w:val="Normal"/>
    <w:link w:val="CommentTextChar"/>
    <w:uiPriority w:val="99"/>
    <w:semiHidden/>
    <w:unhideWhenUsed/>
    <w:rsid w:val="00971AA1"/>
    <w:pPr>
      <w:spacing w:line="240" w:lineRule="auto"/>
    </w:pPr>
    <w:rPr>
      <w:sz w:val="20"/>
      <w:szCs w:val="20"/>
    </w:rPr>
  </w:style>
  <w:style w:type="character" w:customStyle="1" w:styleId="CommentTextChar">
    <w:name w:val="Comment Text Char"/>
    <w:basedOn w:val="DefaultParagraphFont"/>
    <w:link w:val="CommentText"/>
    <w:uiPriority w:val="99"/>
    <w:semiHidden/>
    <w:rsid w:val="00971AA1"/>
    <w:rPr>
      <w:sz w:val="20"/>
      <w:szCs w:val="20"/>
    </w:rPr>
  </w:style>
  <w:style w:type="paragraph" w:styleId="CommentSubject">
    <w:name w:val="annotation subject"/>
    <w:basedOn w:val="CommentText"/>
    <w:next w:val="CommentText"/>
    <w:link w:val="CommentSubjectChar"/>
    <w:uiPriority w:val="99"/>
    <w:semiHidden/>
    <w:unhideWhenUsed/>
    <w:rsid w:val="00971AA1"/>
    <w:rPr>
      <w:b/>
      <w:bCs/>
    </w:rPr>
  </w:style>
  <w:style w:type="character" w:customStyle="1" w:styleId="CommentSubjectChar">
    <w:name w:val="Comment Subject Char"/>
    <w:basedOn w:val="CommentTextChar"/>
    <w:link w:val="CommentSubject"/>
    <w:uiPriority w:val="99"/>
    <w:semiHidden/>
    <w:rsid w:val="00971AA1"/>
    <w:rPr>
      <w:b/>
      <w:bCs/>
      <w:sz w:val="20"/>
      <w:szCs w:val="20"/>
    </w:rPr>
  </w:style>
  <w:style w:type="paragraph" w:styleId="BalloonText">
    <w:name w:val="Balloon Text"/>
    <w:basedOn w:val="Normal"/>
    <w:link w:val="BalloonTextChar"/>
    <w:uiPriority w:val="99"/>
    <w:semiHidden/>
    <w:unhideWhenUsed/>
    <w:rsid w:val="00971AA1"/>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1AA1"/>
    <w:rPr>
      <w:rFonts w:ascii="Segoe UI" w:hAnsi="Segoe UI" w:cs="Segoe UI"/>
      <w:sz w:val="18"/>
      <w:szCs w:val="18"/>
    </w:rPr>
  </w:style>
  <w:style w:type="paragraph" w:styleId="ListParagraph">
    <w:name w:val="List Paragraph"/>
    <w:basedOn w:val="Normal"/>
    <w:uiPriority w:val="34"/>
    <w:qFormat/>
    <w:rsid w:val="00C60E68"/>
    <w:pPr>
      <w:spacing w:after="160" w:line="256" w:lineRule="auto"/>
      <w:ind w:left="720"/>
      <w:contextualSpacing/>
    </w:pPr>
    <w:rPr>
      <w:rFonts w:asciiTheme="minorHAnsi" w:eastAsiaTheme="minorHAnsi" w:hAnsiTheme="minorHAnsi" w:cstheme="minorBidi"/>
      <w:lang w:eastAsia="en-US"/>
    </w:rPr>
  </w:style>
  <w:style w:type="table" w:customStyle="1" w:styleId="a2">
    <w:basedOn w:val="TableNormal"/>
    <w:pPr>
      <w:spacing w:line="240" w:lineRule="auto"/>
    </w:pPr>
    <w:rPr>
      <w:rFonts w:ascii="Cambria" w:eastAsia="Cambria" w:hAnsi="Cambria" w:cs="Cambria"/>
      <w:color w:val="E98300"/>
      <w:sz w:val="20"/>
      <w:szCs w:val="20"/>
    </w:rPr>
    <w:tblPr>
      <w:tblStyleRowBandSize w:val="1"/>
      <w:tblStyleColBandSize w:val="1"/>
      <w:tblCellMar>
        <w:top w:w="100" w:type="dxa"/>
        <w:left w:w="100" w:type="dxa"/>
        <w:bottom w:w="100" w:type="dxa"/>
        <w:right w:w="100" w:type="dxa"/>
      </w:tblCellMar>
    </w:tblPr>
  </w:style>
  <w:style w:type="table" w:customStyle="1" w:styleId="a3">
    <w:basedOn w:val="TableNormal"/>
    <w:pPr>
      <w:spacing w:line="240" w:lineRule="auto"/>
    </w:pPr>
    <w:rPr>
      <w:rFonts w:ascii="Cambria" w:eastAsia="Cambria" w:hAnsi="Cambria" w:cs="Cambria"/>
      <w:color w:val="E98300"/>
      <w:sz w:val="20"/>
      <w:szCs w:val="20"/>
    </w:rPr>
    <w:tblPr>
      <w:tblStyleRowBandSize w:val="1"/>
      <w:tblStyleColBandSize w:val="1"/>
      <w:tblCellMar>
        <w:top w:w="100" w:type="dxa"/>
        <w:left w:w="100" w:type="dxa"/>
        <w:bottom w:w="100" w:type="dxa"/>
        <w:right w:w="100" w:type="dxa"/>
      </w:tblCellMar>
    </w:tblPr>
  </w:style>
  <w:style w:type="table" w:customStyle="1" w:styleId="a4">
    <w:basedOn w:val="TableNormal"/>
    <w:pPr>
      <w:spacing w:line="240" w:lineRule="auto"/>
    </w:pPr>
    <w:rPr>
      <w:rFonts w:ascii="Cambria" w:eastAsia="Cambria" w:hAnsi="Cambria" w:cs="Cambria"/>
      <w:color w:val="E98300"/>
      <w:sz w:val="20"/>
      <w:szCs w:val="20"/>
    </w:rPr>
    <w:tblPr>
      <w:tblStyleRowBandSize w:val="1"/>
      <w:tblStyleColBandSize w:val="1"/>
      <w:tblCellMar>
        <w:top w:w="100" w:type="dxa"/>
        <w:left w:w="100" w:type="dxa"/>
        <w:bottom w:w="100" w:type="dxa"/>
        <w:right w:w="100" w:type="dxa"/>
      </w:tblCellMar>
    </w:tblPr>
  </w:style>
  <w:style w:type="table" w:customStyle="1" w:styleId="a5">
    <w:basedOn w:val="TableNormal"/>
    <w:pPr>
      <w:spacing w:line="240" w:lineRule="auto"/>
    </w:pPr>
    <w:rPr>
      <w:rFonts w:ascii="Cambria" w:eastAsia="Cambria" w:hAnsi="Cambria" w:cs="Cambria"/>
      <w:color w:val="E98300"/>
      <w:sz w:val="20"/>
      <w:szCs w:val="20"/>
    </w:rPr>
    <w:tblPr>
      <w:tblStyleRowBandSize w:val="1"/>
      <w:tblStyleColBandSize w:val="1"/>
      <w:tblCellMar>
        <w:top w:w="100" w:type="dxa"/>
        <w:left w:w="100" w:type="dxa"/>
        <w:bottom w:w="100" w:type="dxa"/>
        <w:right w:w="100" w:type="dxa"/>
      </w:tblCellMar>
    </w:tblPr>
  </w:style>
  <w:style w:type="table" w:customStyle="1" w:styleId="a6">
    <w:basedOn w:val="TableNormal"/>
    <w:pPr>
      <w:spacing w:line="240" w:lineRule="auto"/>
    </w:pPr>
    <w:rPr>
      <w:rFonts w:ascii="Cambria" w:eastAsia="Cambria" w:hAnsi="Cambria" w:cs="Cambria"/>
      <w:color w:val="E98300"/>
      <w:sz w:val="20"/>
      <w:szCs w:val="20"/>
    </w:rPr>
    <w:tblPr>
      <w:tblStyleRowBandSize w:val="1"/>
      <w:tblStyleColBandSize w:val="1"/>
      <w:tblCellMar>
        <w:top w:w="100" w:type="dxa"/>
        <w:left w:w="100" w:type="dxa"/>
        <w:bottom w:w="100" w:type="dxa"/>
        <w:right w:w="100" w:type="dxa"/>
      </w:tblCellMar>
    </w:tblPr>
  </w:style>
  <w:style w:type="table" w:customStyle="1" w:styleId="a7">
    <w:basedOn w:val="TableNormal"/>
    <w:pPr>
      <w:spacing w:line="240" w:lineRule="auto"/>
    </w:pPr>
    <w:rPr>
      <w:rFonts w:ascii="Cambria" w:eastAsia="Cambria" w:hAnsi="Cambria" w:cs="Cambria"/>
      <w:color w:val="E98300"/>
      <w:sz w:val="20"/>
      <w:szCs w:val="20"/>
    </w:rPr>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117AE3"/>
    <w:pPr>
      <w:tabs>
        <w:tab w:val="center" w:pos="4513"/>
        <w:tab w:val="right" w:pos="9026"/>
      </w:tabs>
      <w:spacing w:line="240" w:lineRule="auto"/>
    </w:pPr>
  </w:style>
  <w:style w:type="character" w:customStyle="1" w:styleId="HeaderChar">
    <w:name w:val="Header Char"/>
    <w:basedOn w:val="DefaultParagraphFont"/>
    <w:link w:val="Header"/>
    <w:uiPriority w:val="99"/>
    <w:rsid w:val="00117AE3"/>
  </w:style>
  <w:style w:type="paragraph" w:styleId="Footer">
    <w:name w:val="footer"/>
    <w:basedOn w:val="Normal"/>
    <w:link w:val="FooterChar"/>
    <w:uiPriority w:val="99"/>
    <w:unhideWhenUsed/>
    <w:rsid w:val="00117AE3"/>
    <w:pPr>
      <w:tabs>
        <w:tab w:val="center" w:pos="4513"/>
        <w:tab w:val="right" w:pos="9026"/>
      </w:tabs>
      <w:spacing w:line="240" w:lineRule="auto"/>
    </w:pPr>
  </w:style>
  <w:style w:type="character" w:customStyle="1" w:styleId="FooterChar">
    <w:name w:val="Footer Char"/>
    <w:basedOn w:val="DefaultParagraphFont"/>
    <w:link w:val="Footer"/>
    <w:uiPriority w:val="99"/>
    <w:rsid w:val="00117AE3"/>
  </w:style>
  <w:style w:type="table" w:customStyle="1" w:styleId="a8">
    <w:basedOn w:val="TableNormal"/>
    <w:pPr>
      <w:spacing w:line="240" w:lineRule="auto"/>
    </w:pPr>
    <w:rPr>
      <w:rFonts w:ascii="Cambria" w:eastAsia="Cambria" w:hAnsi="Cambria" w:cs="Cambria"/>
      <w:color w:val="E98300"/>
      <w:sz w:val="20"/>
      <w:szCs w:val="20"/>
    </w:rPr>
    <w:tblPr>
      <w:tblStyleRowBandSize w:val="1"/>
      <w:tblStyleColBandSize w:val="1"/>
      <w:tblCellMar>
        <w:top w:w="100" w:type="dxa"/>
        <w:left w:w="100" w:type="dxa"/>
        <w:bottom w:w="100" w:type="dxa"/>
        <w:right w:w="100" w:type="dxa"/>
      </w:tblCellMar>
    </w:tblPr>
  </w:style>
  <w:style w:type="table" w:customStyle="1" w:styleId="a9">
    <w:basedOn w:val="TableNormal"/>
    <w:pPr>
      <w:spacing w:line="240" w:lineRule="auto"/>
    </w:pPr>
    <w:rPr>
      <w:rFonts w:ascii="Cambria" w:eastAsia="Cambria" w:hAnsi="Cambria" w:cs="Cambria"/>
      <w:color w:val="E98300"/>
      <w:sz w:val="20"/>
      <w:szCs w:val="20"/>
    </w:rPr>
    <w:tblPr>
      <w:tblStyleRowBandSize w:val="1"/>
      <w:tblStyleColBandSize w:val="1"/>
      <w:tblCellMar>
        <w:top w:w="100" w:type="dxa"/>
        <w:left w:w="100" w:type="dxa"/>
        <w:bottom w:w="100" w:type="dxa"/>
        <w:right w:w="100" w:type="dxa"/>
      </w:tblCellMar>
    </w:tblPr>
  </w:style>
  <w:style w:type="table" w:customStyle="1" w:styleId="aa">
    <w:basedOn w:val="TableNormal"/>
    <w:pPr>
      <w:spacing w:line="240" w:lineRule="auto"/>
    </w:pPr>
    <w:rPr>
      <w:rFonts w:ascii="Cambria" w:eastAsia="Cambria" w:hAnsi="Cambria" w:cs="Cambria"/>
      <w:color w:val="E98300"/>
      <w:sz w:val="20"/>
      <w:szCs w:val="20"/>
    </w:rPr>
    <w:tblPr>
      <w:tblStyleRowBandSize w:val="1"/>
      <w:tblStyleColBandSize w:val="1"/>
      <w:tblCellMar>
        <w:top w:w="100" w:type="dxa"/>
        <w:left w:w="100" w:type="dxa"/>
        <w:bottom w:w="100" w:type="dxa"/>
        <w:right w:w="100" w:type="dxa"/>
      </w:tblCellMar>
    </w:tblPr>
  </w:style>
  <w:style w:type="table" w:customStyle="1" w:styleId="ab">
    <w:basedOn w:val="TableNormal"/>
    <w:pPr>
      <w:spacing w:line="240" w:lineRule="auto"/>
    </w:pPr>
    <w:rPr>
      <w:rFonts w:ascii="Cambria" w:eastAsia="Cambria" w:hAnsi="Cambria" w:cs="Cambria"/>
      <w:color w:val="E98300"/>
      <w:sz w:val="20"/>
      <w:szCs w:val="20"/>
    </w:rPr>
    <w:tblPr>
      <w:tblStyleRowBandSize w:val="1"/>
      <w:tblStyleColBandSize w:val="1"/>
      <w:tblCellMar>
        <w:top w:w="100" w:type="dxa"/>
        <w:left w:w="100" w:type="dxa"/>
        <w:bottom w:w="100" w:type="dxa"/>
        <w:right w:w="100" w:type="dxa"/>
      </w:tblCellMar>
    </w:tblPr>
  </w:style>
  <w:style w:type="table" w:customStyle="1" w:styleId="ac">
    <w:basedOn w:val="TableNormal"/>
    <w:pPr>
      <w:spacing w:line="240" w:lineRule="auto"/>
    </w:pPr>
    <w:rPr>
      <w:rFonts w:ascii="Cambria" w:eastAsia="Cambria" w:hAnsi="Cambria" w:cs="Cambria"/>
      <w:color w:val="E98300"/>
      <w:sz w:val="20"/>
      <w:szCs w:val="20"/>
    </w:rPr>
    <w:tblPr>
      <w:tblStyleRowBandSize w:val="1"/>
      <w:tblStyleColBandSize w:val="1"/>
      <w:tblCellMar>
        <w:top w:w="100" w:type="dxa"/>
        <w:left w:w="100" w:type="dxa"/>
        <w:bottom w:w="100" w:type="dxa"/>
        <w:right w:w="100" w:type="dxa"/>
      </w:tblCellMar>
    </w:tblPr>
  </w:style>
  <w:style w:type="table" w:customStyle="1" w:styleId="ad">
    <w:basedOn w:val="TableNormal"/>
    <w:pPr>
      <w:spacing w:line="240" w:lineRule="auto"/>
    </w:pPr>
    <w:rPr>
      <w:rFonts w:ascii="Cambria" w:eastAsia="Cambria" w:hAnsi="Cambria" w:cs="Cambria"/>
      <w:color w:val="E98300"/>
      <w:sz w:val="20"/>
      <w:szCs w:val="20"/>
    </w:r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www.gov.uk/guidance/use-your-govuk-domain-name?step-by-step-nav=5a9309a3-9a80-4faa-b24f-1797023e897f" TargetMode="External"/><Relationship Id="rId18" Type="http://schemas.openxmlformats.org/officeDocument/2006/relationships/hyperlink" Target="https://www.gov.uk/guidance/make-changes-to-your-govuk-domain-name?step-by-step-nav=5a9309a3-9a80-4faa-b24f-1797023e897f" TargetMode="External"/><Relationship Id="rId26" Type="http://schemas.openxmlformats.org/officeDocument/2006/relationships/hyperlink" Target="https://datatracker.ietf.org/doc/html/rfc2182" TargetMode="External"/><Relationship Id="rId39" Type="http://schemas.openxmlformats.org/officeDocument/2006/relationships/hyperlink" Target="https://datatracker.ietf.org/doc/rfc5731/" TargetMode="External"/><Relationship Id="rId21" Type="http://schemas.openxmlformats.org/officeDocument/2006/relationships/hyperlink" Target="https://datatracker.ietf.org/doc/html/rfc1034" TargetMode="External"/><Relationship Id="rId34" Type="http://schemas.openxmlformats.org/officeDocument/2006/relationships/hyperlink" Target="https://datatracker.ietf.org/doc/html/rfc6891" TargetMode="External"/><Relationship Id="rId42" Type="http://schemas.openxmlformats.org/officeDocument/2006/relationships/hyperlink" Target="https://datatracker.ietf.org/doc/rfc5734/" TargetMode="External"/><Relationship Id="rId47" Type="http://schemas.openxmlformats.org/officeDocument/2006/relationships/hyperlink" Target="https://datatracker.ietf.org/doc/rfc9082/" TargetMode="External"/><Relationship Id="rId50" Type="http://schemas.openxmlformats.org/officeDocument/2006/relationships/hyperlink" Target="https://tools.ietf.org/html/rfc7485" TargetMode="External"/><Relationship Id="rId55" Type="http://schemas.openxmlformats.org/officeDocument/2006/relationships/hyperlink" Target="https://datatracker.ietf.org/doc/html/rfc4509" TargetMode="External"/><Relationship Id="rId63" Type="http://schemas.openxmlformats.org/officeDocument/2006/relationships/hyperlink" Target="https://www.gov.uk/guidance/additional-terms-for-govuk-agreements" TargetMode="External"/><Relationship Id="rId68" Type="http://schemas.openxmlformats.org/officeDocument/2006/relationships/hyperlink" Target="https://www.gov.uk/guidance/criteria-to-be-a-govuk-approved-registrar" TargetMode="External"/><Relationship Id="rId76" Type="http://schemas.openxmlformats.org/officeDocument/2006/relationships/hyperlink" Target="https://www.gov.uk/guidance/keeping-your-domain-name-secure?step-by-step-nav=5a9309a3-9a80-4faa-b24f-1797023e897f" TargetMode="External"/><Relationship Id="rId84" Type="http://schemas.openxmlformats.org/officeDocument/2006/relationships/hyperlink" Target="https://www.gov.uk/guidance/criteria-to-be-a-govuk-approved-registrar" TargetMode="External"/><Relationship Id="rId89" Type="http://schemas.openxmlformats.org/officeDocument/2006/relationships/fontTable" Target="fontTable.xml"/><Relationship Id="rId7" Type="http://schemas.openxmlformats.org/officeDocument/2006/relationships/webSettings" Target="webSettings.xml"/><Relationship Id="rId71" Type="http://schemas.openxmlformats.org/officeDocument/2006/relationships/hyperlink" Target="https://www.gov.uk/guidance/choose-your-govuk-domain-name?step-by-step-nav=5a9309a3-9a80-4faa-b24f-1797023e897f" TargetMode="External"/><Relationship Id="rId2" Type="http://schemas.openxmlformats.org/officeDocument/2006/relationships/customXml" Target="../customXml/item2.xml"/><Relationship Id="rId16" Type="http://schemas.openxmlformats.org/officeDocument/2006/relationships/hyperlink" Target="https://www.gov.uk/guidance/keeping-your-domain-name-secure?step-by-step-nav=5a9309a3-9a80-4faa-b24f-1797023e897f" TargetMode="External"/><Relationship Id="rId29" Type="http://schemas.openxmlformats.org/officeDocument/2006/relationships/hyperlink" Target="https://datatracker.ietf.org/doc/html/rfc3597" TargetMode="External"/><Relationship Id="rId11" Type="http://schemas.openxmlformats.org/officeDocument/2006/relationships/hyperlink" Target="https://www.gov.uk/guidance/appoint-a-govuk-domain-name-administrator?step-by-step-nav=5a9309a3-9a80-4faa-b24f-1797023e897f" TargetMode="External"/><Relationship Id="rId24" Type="http://schemas.openxmlformats.org/officeDocument/2006/relationships/hyperlink" Target="https://datatracker.ietf.org/doc/html/rfc1982" TargetMode="External"/><Relationship Id="rId32" Type="http://schemas.openxmlformats.org/officeDocument/2006/relationships/header" Target="header1.xml"/><Relationship Id="rId37" Type="http://schemas.openxmlformats.org/officeDocument/2006/relationships/hyperlink" Target="https://icannwiki.org/Shared_Registry_System" TargetMode="External"/><Relationship Id="rId40" Type="http://schemas.openxmlformats.org/officeDocument/2006/relationships/hyperlink" Target="https://datatracker.ietf.org/doc/rfc5732/" TargetMode="External"/><Relationship Id="rId45" Type="http://schemas.openxmlformats.org/officeDocument/2006/relationships/hyperlink" Target="https://tools.ietf.org/html/rfc7480" TargetMode="External"/><Relationship Id="rId53" Type="http://schemas.openxmlformats.org/officeDocument/2006/relationships/hyperlink" Target="https://datatracker.ietf.org/doc/html/rfc4034" TargetMode="External"/><Relationship Id="rId58" Type="http://schemas.openxmlformats.org/officeDocument/2006/relationships/hyperlink" Target="https://datatracker.ietf.org/doc/html/rfc6841" TargetMode="External"/><Relationship Id="rId66" Type="http://schemas.openxmlformats.org/officeDocument/2006/relationships/hyperlink" Target="https://www.icann.org/resources/pages/transition-processes-2013-04-22-en" TargetMode="External"/><Relationship Id="rId74" Type="http://schemas.openxmlformats.org/officeDocument/2006/relationships/hyperlink" Target="http://gov.uk/guidance/creating-and-managing-govuk-subdomains" TargetMode="External"/><Relationship Id="rId79" Type="http://schemas.openxmlformats.org/officeDocument/2006/relationships/hyperlink" Target="https://www.gov.uk/guidance/what-to-do-if-your-domain-name-is-compromised?step-by-step-nav=5a9309a3-9a80-4faa-b24f-1797023e897f" TargetMode="External"/><Relationship Id="rId87" Type="http://schemas.openxmlformats.org/officeDocument/2006/relationships/hyperlink" Target="https://www.gov.uk/guidance/criteria-to-be-a-govuk-approved-registrar" TargetMode="External"/><Relationship Id="rId5" Type="http://schemas.openxmlformats.org/officeDocument/2006/relationships/styles" Target="styles.xml"/><Relationship Id="rId61" Type="http://schemas.openxmlformats.org/officeDocument/2006/relationships/hyperlink" Target="https://www.icann.org/resources/pages/epp-status-codes-2014-06-16-en" TargetMode="External"/><Relationship Id="rId82" Type="http://schemas.openxmlformats.org/officeDocument/2006/relationships/hyperlink" Target="https://www.gov.uk/guidance/additional-terms-for-govuk-agreements" TargetMode="External"/><Relationship Id="rId90" Type="http://schemas.openxmlformats.org/officeDocument/2006/relationships/theme" Target="theme/theme1.xml"/><Relationship Id="rId19" Type="http://schemas.openxmlformats.org/officeDocument/2006/relationships/hyperlink" Target="https://www.gov.uk/guidance/how-to-stop-using-your-govuk-domain-name?step-by-step-nav=5a9309a3-9a80-4faa-b24f-1797023e897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gov.uk/guidance/how-you-are-accountable-for-protecting-your-govuk-domain?step-by-step-nav=5a9309a3-9a80-4faa-b24f-1797023e897f" TargetMode="External"/><Relationship Id="rId22" Type="http://schemas.openxmlformats.org/officeDocument/2006/relationships/hyperlink" Target="https://datatracker.ietf.org/doc/html/rfc1035" TargetMode="External"/><Relationship Id="rId27" Type="http://schemas.openxmlformats.org/officeDocument/2006/relationships/hyperlink" Target="https://datatracker.ietf.org/doc/rfc3226/" TargetMode="External"/><Relationship Id="rId30" Type="http://schemas.openxmlformats.org/officeDocument/2006/relationships/hyperlink" Target="https://datatracker.ietf.org/doc/html/rfc4343" TargetMode="External"/><Relationship Id="rId35" Type="http://schemas.openxmlformats.org/officeDocument/2006/relationships/hyperlink" Target="https://www.icann.org/en/registry-agreements/base-agreement" TargetMode="External"/><Relationship Id="rId43" Type="http://schemas.openxmlformats.org/officeDocument/2006/relationships/hyperlink" Target="https://icannwiki.org/Whois" TargetMode="External"/><Relationship Id="rId48" Type="http://schemas.openxmlformats.org/officeDocument/2006/relationships/hyperlink" Target="https://datatracker.ietf.org/doc/rfc9083/" TargetMode="External"/><Relationship Id="rId56" Type="http://schemas.openxmlformats.org/officeDocument/2006/relationships/hyperlink" Target="https://datatracker.ietf.org/doc/html/rfc6781" TargetMode="External"/><Relationship Id="rId64" Type="http://schemas.openxmlformats.org/officeDocument/2006/relationships/hyperlink" Target="https://www.gov.uk/guidance/criteria-to-be-a-govuk-approved-registrar" TargetMode="External"/><Relationship Id="rId69" Type="http://schemas.openxmlformats.org/officeDocument/2006/relationships/hyperlink" Target="https://www.gov.uk/guidance/get-permission-to-apply-for-a-govuk-domain-name?step-by-step-nav=5a9309a3-9a80-4faa-b24f-1797023e897f" TargetMode="External"/><Relationship Id="rId77" Type="http://schemas.openxmlformats.org/officeDocument/2006/relationships/hyperlink" Target="https://www.gov.uk/guidance/make-changes-to-your-govuk-domain-name?step-by-step-nav=5a9309a3-9a80-4faa-b24f-1797023e897f" TargetMode="External"/><Relationship Id="rId8" Type="http://schemas.openxmlformats.org/officeDocument/2006/relationships/footnotes" Target="footnotes.xml"/><Relationship Id="rId51" Type="http://schemas.openxmlformats.org/officeDocument/2006/relationships/hyperlink" Target="https://newgtlds.icann.org/sites/default/files/agreements/agreement-approved-09jan14-en.htm" TargetMode="External"/><Relationship Id="rId72" Type="http://schemas.openxmlformats.org/officeDocument/2006/relationships/hyperlink" Target="https://www.gov.uk/guidance/use-your-govuk-domain-name?step-by-step-nav=5a9309a3-9a80-4faa-b24f-1797023e897f" TargetMode="External"/><Relationship Id="rId80" Type="http://schemas.openxmlformats.org/officeDocument/2006/relationships/hyperlink" Target="https://www.gov.uk/guidance/additional-terms-for-govuk-agreements" TargetMode="External"/><Relationship Id="rId85" Type="http://schemas.openxmlformats.org/officeDocument/2006/relationships/hyperlink" Target="https://www.gov.uk/guidance/criteria-to-be-a-govuk-approved-registrar" TargetMode="External"/><Relationship Id="rId3" Type="http://schemas.openxmlformats.org/officeDocument/2006/relationships/customXml" Target="../customXml/item3.xml"/><Relationship Id="rId12" Type="http://schemas.openxmlformats.org/officeDocument/2006/relationships/hyperlink" Target="https://www.gov.uk/guidance/choose-your-govuk-domain-name?step-by-step-nav=5a9309a3-9a80-4faa-b24f-1797023e897f" TargetMode="External"/><Relationship Id="rId17" Type="http://schemas.openxmlformats.org/officeDocument/2006/relationships/hyperlink" Target="https://www.gov.uk/guidance/keeping-your-domain-name-secure?step-by-step-nav=5a9309a3-9a80-4faa-b24f-1797023e897f" TargetMode="External"/><Relationship Id="rId25" Type="http://schemas.openxmlformats.org/officeDocument/2006/relationships/hyperlink" Target="https://datatracker.ietf.org/doc/html/rfc2181" TargetMode="External"/><Relationship Id="rId33" Type="http://schemas.openxmlformats.org/officeDocument/2006/relationships/footer" Target="footer1.xml"/><Relationship Id="rId38" Type="http://schemas.openxmlformats.org/officeDocument/2006/relationships/hyperlink" Target="https://datatracker.ietf.org/doc/html/rfc5730" TargetMode="External"/><Relationship Id="rId46" Type="http://schemas.openxmlformats.org/officeDocument/2006/relationships/hyperlink" Target="https://tools.ietf.org/html/rfc7481" TargetMode="External"/><Relationship Id="rId59" Type="http://schemas.openxmlformats.org/officeDocument/2006/relationships/hyperlink" Target="https://www.iana.org/dnssec/files" TargetMode="External"/><Relationship Id="rId67" Type="http://schemas.openxmlformats.org/officeDocument/2006/relationships/hyperlink" Target="https://www.gov.uk/guidance/how-govuk-domains-are-protected" TargetMode="External"/><Relationship Id="rId20" Type="http://schemas.openxmlformats.org/officeDocument/2006/relationships/hyperlink" Target="https://www.gov.uk/guidance/what-to-do-if-your-domain-name-is-compromised?step-by-step-nav=5a9309a3-9a80-4faa-b24f-1797023e897f" TargetMode="External"/><Relationship Id="rId41" Type="http://schemas.openxmlformats.org/officeDocument/2006/relationships/hyperlink" Target="https://datatracker.ietf.org/doc/html/rfc5733" TargetMode="External"/><Relationship Id="rId54" Type="http://schemas.openxmlformats.org/officeDocument/2006/relationships/hyperlink" Target="https://datatracker.ietf.org/doc/html/rfc4035" TargetMode="External"/><Relationship Id="rId62" Type="http://schemas.openxmlformats.org/officeDocument/2006/relationships/hyperlink" Target="https://www.gov.uk/guidance/keeping-your-domain-name-secure?step-by-step-nav=5a9309a3-9a80-4faa-b24f-1797023e897f" TargetMode="External"/><Relationship Id="rId70" Type="http://schemas.openxmlformats.org/officeDocument/2006/relationships/hyperlink" Target="https://www.gov.uk/guidance/appoint-a-govuk-domain-name-administrator?step-by-step-nav=5a9309a3-9a80-4faa-b24f-1797023e897f" TargetMode="External"/><Relationship Id="rId75" Type="http://schemas.openxmlformats.org/officeDocument/2006/relationships/hyperlink" Target="https://www.gov.uk/guidance/keeping-your-domain-name-secure?step-by-step-nav=5a9309a3-9a80-4faa-b24f-1797023e897f" TargetMode="External"/><Relationship Id="rId83" Type="http://schemas.openxmlformats.org/officeDocument/2006/relationships/hyperlink" Target="https://www.gov.uk/guidance/criteria-to-be-a-govuk-approved-registrar" TargetMode="External"/><Relationship Id="rId88" Type="http://schemas.openxmlformats.org/officeDocument/2006/relationships/hyperlink" Target="https://www.gov.uk/guidance/criteria-to-be-a-govuk-approved-registrar"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gov.uk/guidance/creating-and-managing-govuk-subdomains" TargetMode="External"/><Relationship Id="rId23" Type="http://schemas.openxmlformats.org/officeDocument/2006/relationships/hyperlink" Target="https://www.rfc-editor.org/rfc/rfc1123" TargetMode="External"/><Relationship Id="rId28" Type="http://schemas.openxmlformats.org/officeDocument/2006/relationships/hyperlink" Target="https://datatracker.ietf.org/doc/html/rfc3596" TargetMode="External"/><Relationship Id="rId36" Type="http://schemas.openxmlformats.org/officeDocument/2006/relationships/hyperlink" Target="https://www.icann.org/en/registry-agreements/base-agreement" TargetMode="External"/><Relationship Id="rId49" Type="http://schemas.openxmlformats.org/officeDocument/2006/relationships/hyperlink" Target="https://tools.ietf.org/html/rfc7484" TargetMode="External"/><Relationship Id="rId57" Type="http://schemas.openxmlformats.org/officeDocument/2006/relationships/hyperlink" Target="https://datatracker.ietf.org/doc/rfc5155/" TargetMode="External"/><Relationship Id="rId10" Type="http://schemas.openxmlformats.org/officeDocument/2006/relationships/hyperlink" Target="https://www.gov.uk/guidance/get-permission-to-apply-for-a-govuk-domain-name?step-by-step-nav=5a9309a3-9a80-4faa-b24f-1797023e897f" TargetMode="External"/><Relationship Id="rId31" Type="http://schemas.openxmlformats.org/officeDocument/2006/relationships/hyperlink" Target="https://www.rfc-editor.org/rfc/rfc5966.html" TargetMode="External"/><Relationship Id="rId44" Type="http://schemas.openxmlformats.org/officeDocument/2006/relationships/hyperlink" Target="https://icannwiki.org/RDAP" TargetMode="External"/><Relationship Id="rId52" Type="http://schemas.openxmlformats.org/officeDocument/2006/relationships/hyperlink" Target="https://datatracker.ietf.org/doc/html/rfc4033" TargetMode="External"/><Relationship Id="rId60" Type="http://schemas.openxmlformats.org/officeDocument/2006/relationships/hyperlink" Target="https://www.icann.org/resources/pages/implementation-guidelines-2012-02-25-en" TargetMode="External"/><Relationship Id="rId65" Type="http://schemas.openxmlformats.org/officeDocument/2006/relationships/hyperlink" Target="https://www.gov.uk/service-manual/service-assessments" TargetMode="External"/><Relationship Id="rId73" Type="http://schemas.openxmlformats.org/officeDocument/2006/relationships/hyperlink" Target="https://www.gov.uk/guidance/how-you-are-accountable-for-protecting-your-govuk-domain?step-by-step-nav=5a9309a3-9a80-4faa-b24f-1797023e897f" TargetMode="External"/><Relationship Id="rId78" Type="http://schemas.openxmlformats.org/officeDocument/2006/relationships/hyperlink" Target="https://www.gov.uk/guidance/how-to-stop-using-your-govuk-domain-name?step-by-step-nav=5a9309a3-9a80-4faa-b24f-1797023e897f" TargetMode="External"/><Relationship Id="rId81" Type="http://schemas.openxmlformats.org/officeDocument/2006/relationships/hyperlink" Target="https://www.gov.uk/guidance/additional-terms-for-govuk-agreements" TargetMode="External"/><Relationship Id="rId86" Type="http://schemas.openxmlformats.org/officeDocument/2006/relationships/hyperlink" Target="https://www.gov.uk/guidance/criteria-to-be-a-govuk-approved-registra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G3XJOeCLPyUkJ1GvY9Ni+K/pfg==">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</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 ma:contentTypeID="0x01010078F86B33BE328F4BBC63B81FD86426DF" ma:contentTypeVersion="32" ma:contentTypeDescription="Create a new document." ma:contentTypeScope="" ma:versionID="b250eb8db081191cc8d706ab56032792">
  <xsd:schema xmlns:xsd="http://www.w3.org/2001/XMLSchema" xmlns:xs="http://www.w3.org/2001/XMLSchema" xmlns:p="http://schemas.microsoft.com/office/2006/metadata/properties" xmlns:ns2="2345dce2-c128-42f9-8a79-49e4bf71b05c" xmlns:ns3="71d9e1b9-a6aa-4fa4-b0c3-de35b02e1480" targetNamespace="http://schemas.microsoft.com/office/2006/metadata/properties" ma:root="true" ma:fieldsID="d5f4bbd83608a90a638db0f95dd8806b" ns2:_="" ns3:_="">
    <xsd:import namespace="2345dce2-c128-42f9-8a79-49e4bf71b05c"/>
    <xsd:import namespace="71d9e1b9-a6aa-4fa4-b0c3-de35b02e1480"/>
    <xsd:element name="properties">
      <xsd:complexType>
        <xsd:sequence>
          <xsd:element name="documentManagement">
            <xsd:complexType>
              <xsd:all>
                <xsd:element ref="ns2:LocationsTaxHTField" minOccurs="0"/>
                <xsd:element ref="ns2:DocumentTypeTaxHTField" minOccurs="0"/>
                <xsd:element ref="ns2:DepartmentsTaxHTField" minOccurs="0"/>
                <xsd:element ref="ns2:KeywordsTagsTaxHTField" minOccurs="0"/>
                <xsd:element ref="ns2:b73a531bf2874837a19042fda8b245b9" minOccurs="0"/>
                <xsd:element ref="ns2:TaxCatchAll" minOccurs="0"/>
                <xsd:element ref="ns2:c9be4fc6f559450098a544dcf2e206c7" minOccurs="0"/>
                <xsd:element ref="ns2:p640f9c8b4b14857bdc671f534fc7d57" minOccurs="0"/>
                <xsd:element ref="ns2:g5236701626640c1ab96021ee8d14cff" minOccurs="0"/>
                <xsd:element ref="ns2:Owner"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45dce2-c128-42f9-8a79-49e4bf71b05c" elementFormDefault="qualified">
    <xsd:import namespace="http://schemas.microsoft.com/office/2006/documentManagement/types"/>
    <xsd:import namespace="http://schemas.microsoft.com/office/infopath/2007/PartnerControls"/>
    <xsd:element name="LocationsTaxHTField" ma:index="8" nillable="true" ma:displayName="LocationsTaxHTField" ma:hidden="true" ma:internalName="LocationsTaxHTField">
      <xsd:simpleType>
        <xsd:restriction base="dms:Note"/>
      </xsd:simpleType>
    </xsd:element>
    <xsd:element name="DocumentTypeTaxHTField" ma:index="9" nillable="true" ma:displayName="DocumentTypeTaxHTField" ma:hidden="true" ma:internalName="DocumentTypeTaxHTField">
      <xsd:simpleType>
        <xsd:restriction base="dms:Note"/>
      </xsd:simpleType>
    </xsd:element>
    <xsd:element name="DepartmentsTaxHTField" ma:index="10" nillable="true" ma:displayName="DepartmentsTaxHTField" ma:hidden="true" ma:internalName="DepartmentsTaxHTField">
      <xsd:simpleType>
        <xsd:restriction base="dms:Note"/>
      </xsd:simpleType>
    </xsd:element>
    <xsd:element name="KeywordsTagsTaxHTField" ma:index="11" nillable="true" ma:displayName="KeywordsTagsTaxHTField" ma:hidden="true" ma:internalName="KeywordsTagsTaxHTField">
      <xsd:simpleType>
        <xsd:restriction base="dms:Note"/>
      </xsd:simpleType>
    </xsd:element>
    <xsd:element name="b73a531bf2874837a19042fda8b245b9" ma:index="13" nillable="true" ma:taxonomy="true" ma:internalName="b73a531bf2874837a19042fda8b245b9" ma:taxonomyFieldName="Departments" ma:displayName="Departments" ma:default="" ma:fieldId="{b73a531b-f287-4837-a190-42fda8b245b9}" ma:taxonomyMulti="true" ma:sspId="cf836ef7-6ff0-4376-a9da-b3f782441ef3" ma:termSetId="7de4cc5f-e887-4f58-961c-84d30d95a9c2"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a3659d78-cb85-47a4-982a-09adb830430b}" ma:internalName="TaxCatchAll" ma:showField="CatchAllData" ma:web="2345dce2-c128-42f9-8a79-49e4bf71b05c">
      <xsd:complexType>
        <xsd:complexContent>
          <xsd:extension base="dms:MultiChoiceLookup">
            <xsd:sequence>
              <xsd:element name="Value" type="dms:Lookup" maxOccurs="unbounded" minOccurs="0" nillable="true"/>
            </xsd:sequence>
          </xsd:extension>
        </xsd:complexContent>
      </xsd:complexType>
    </xsd:element>
    <xsd:element name="c9be4fc6f559450098a544dcf2e206c7" ma:index="16" nillable="true" ma:taxonomy="true" ma:internalName="c9be4fc6f559450098a544dcf2e206c7" ma:taxonomyFieldName="DocumentType" ma:displayName="Document Type" ma:default="" ma:fieldId="{c9be4fc6-f559-4500-98a5-44dcf2e206c7}" ma:taxonomyMulti="true" ma:sspId="cf836ef7-6ff0-4376-a9da-b3f782441ef3" ma:termSetId="286ebe61-194d-4783-ab71-3d55852e3f10" ma:anchorId="00000000-0000-0000-0000-000000000000" ma:open="false" ma:isKeyword="false">
      <xsd:complexType>
        <xsd:sequence>
          <xsd:element ref="pc:Terms" minOccurs="0" maxOccurs="1"/>
        </xsd:sequence>
      </xsd:complexType>
    </xsd:element>
    <xsd:element name="p640f9c8b4b14857bdc671f534fc7d57" ma:index="18" nillable="true" ma:taxonomy="true" ma:internalName="p640f9c8b4b14857bdc671f534fc7d57" ma:taxonomyFieldName="Locations" ma:displayName="Locations" ma:default="" ma:fieldId="{9640f9c8-b4b1-4857-bdc6-71f534fc7d57}" ma:taxonomyMulti="true" ma:sspId="cf836ef7-6ff0-4376-a9da-b3f782441ef3" ma:termSetId="520fcd1e-a37f-4b37-b166-9a39e00fa880" ma:anchorId="00000000-0000-0000-0000-000000000000" ma:open="false" ma:isKeyword="false">
      <xsd:complexType>
        <xsd:sequence>
          <xsd:element ref="pc:Terms" minOccurs="0" maxOccurs="1"/>
        </xsd:sequence>
      </xsd:complexType>
    </xsd:element>
    <xsd:element name="g5236701626640c1ab96021ee8d14cff" ma:index="20" nillable="true" ma:taxonomy="true" ma:internalName="g5236701626640c1ab96021ee8d14cff" ma:taxonomyFieldName="KeywordsTags" ma:displayName="Keywords / Tags" ma:default="" ma:fieldId="{05236701-6266-40c1-ab96-021ee8d14cff}" ma:taxonomyMulti="true" ma:sspId="cf836ef7-6ff0-4376-a9da-b3f782441ef3" ma:termSetId="c9574fbc-165d-476a-96c1-c789a2ded63b" ma:anchorId="00000000-0000-0000-0000-000000000000" ma:open="true" ma:isKeyword="false">
      <xsd:complexType>
        <xsd:sequence>
          <xsd:element ref="pc:Terms" minOccurs="0" maxOccurs="1"/>
        </xsd:sequence>
      </xsd:complexType>
    </xsd:element>
    <xsd:element name="Owner" ma:index="21" nillable="true" ma:displayName="Owner" ma:format="Dropdown"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d9e1b9-a6aa-4fa4-b0c3-de35b02e1480"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KeyPoints" ma:index="26" nillable="true" ma:displayName="MediaServiceAutoKeyPoints" ma:hidden="true" ma:internalName="MediaServiceAutoKeyPoints" ma:readOnly="true">
      <xsd:simpleType>
        <xsd:restriction base="dms:Note"/>
      </xsd:simpleType>
    </xsd:element>
    <xsd:element name="MediaServiceKeyPoints" ma:index="27" nillable="true" ma:displayName="KeyPoints" ma:internalName="MediaServiceKeyPoints" ma:readOnly="true">
      <xsd:simpleType>
        <xsd:restriction base="dms:Note">
          <xsd:maxLength value="255"/>
        </xsd:restriction>
      </xsd:simpleType>
    </xsd:element>
    <xsd:element name="MediaServiceAutoTags" ma:index="28" nillable="true" ma:displayName="Tags" ma:internalName="MediaServiceAutoTags"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ServiceDateTaken" ma:index="32" nillable="true" ma:displayName="MediaServiceDateTaken" ma:hidden="true" ma:internalName="MediaServiceDateTaken" ma:readOnly="true">
      <xsd:simpleType>
        <xsd:restriction base="dms:Text"/>
      </xsd:simpleType>
    </xsd:element>
    <xsd:element name="MediaServiceLocation" ma:index="33" nillable="true" ma:displayName="Location" ma:internalName="MediaServiceLocation"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lcf76f155ced4ddcb4097134ff3c332f" ma:index="36" nillable="true" ma:taxonomy="true" ma:internalName="lcf76f155ced4ddcb4097134ff3c332f" ma:taxonomyFieldName="MediaServiceImageTags" ma:displayName="Image Tags" ma:readOnly="false" ma:fieldId="{5cf76f15-5ced-4ddc-b409-7134ff3c332f}" ma:taxonomyMulti="true" ma:sspId="cf836ef7-6ff0-4376-a9da-b3f782441ef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99DAAA-BA56-4EE0-99BB-CDFB72D40312}">
  <ds:schemaRefs>
    <ds:schemaRef ds:uri="http://schemas.microsoft.com/sharepoint/v3/contenttype/form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A965DA61-7794-4D32-866E-6615D6619B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45dce2-c128-42f9-8a79-49e4bf71b05c"/>
    <ds:schemaRef ds:uri="71d9e1b9-a6aa-4fa4-b0c3-de35b02e14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9080</Words>
  <Characters>51760</Characters>
  <Application>Microsoft Office Word</Application>
  <DocSecurity>0</DocSecurity>
  <Lines>431</Lines>
  <Paragraphs>121</Paragraphs>
  <ScaleCrop>false</ScaleCrop>
  <Company/>
  <LinksUpToDate>false</LinksUpToDate>
  <CharactersWithSpaces>60719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Candace Brooks</dc:creator>
  <cp:lastModifiedBy>Mark Palmer</cp:lastModifiedBy>
  <cp:revision>2</cp:revision>
  <dcterms:created xsi:type="dcterms:W3CDTF">2023-07-21T12:05:00Z</dcterms:created>
  <dcterms:modified xsi:type="dcterms:W3CDTF">2024-02-07T12:16:00Z</dcterms:modified>
</cp:coreProperties>
</file>